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L — Registre décision–action–suivi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Conserver la trace des décisions, de leur mise en œuvre et de leurs effets.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2046"/>
        <w:gridCol w:w="2046"/>
        <w:gridCol w:w="2046"/>
        <w:gridCol w:w="2046"/>
        <w:gridCol w:w="2040"/>
      </w:tblGrid>
      <w:tr>
        <w:trPr>
          <w:cantSplit w:val="true"/>
          <w:tblHeader/>
        </w:trPr>
        <w:tc>
          <w:tcPr>
            <w:tcW w:w="10224" w:type="dxa"/>
            <w:gridSpan w:val="5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Garder chaque décision visible jusqu’à sa réalisation, son ajustement ou sa clôture. Le registre évite que les mêmes discussions recommencent sans mémoire des actions précédentes.</w:t>
            </w:r>
          </w:p>
        </w:tc>
      </w:tr>
      <w:tr>
        <w:trPr>
          <w:cantSplit w:val="true"/>
        </w:trPr>
        <w:tc>
          <w:tcPr>
            <w:tcW w:w="10224" w:type="dxa"/>
            <w:gridSpan w:val="5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Créer une ligne lorsqu’un résultat conduit à une décision. Mettre le registre à jour au rythme des rencontres de suivi.</w:t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Date et constat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Décision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Action et responsable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Échéance</w:t>
            </w:r>
          </w:p>
        </w:tc>
        <w:tc>
          <w:tcPr>
            <w:tcW w:w="204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Suivi / résultat</w:t>
            </w:r>
          </w:p>
        </w:tc>
      </w:tr>
      <w:tr>
        <w:trPr>
          <w:trHeight w:val="1080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080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080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080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keepNext w:val="true"/>
        <w:keepLines/>
        <w:widowControl/>
        <w:spacing w:lineRule="auto" w:line="240" w:before="0" w:after="220"/>
        <w:ind w:hanging="0"/>
        <w:rPr/>
      </w:pPr>
      <w:r>
        <w:rPr/>
        <w:t>Suite — clôture et apprentissage.</w:t>
      </w:r>
    </w:p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Clôture d’une action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Question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76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L’action a-t-elle été réalisée comme prévu?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6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Quels résultats ou effets ont été observés?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6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Une autre action ou un autre suivi est-il nécessaire?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6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La fiche-indicateur, la cible ou le tableau de bord doivent-ils être révisés?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6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Quelle leçon devrait être conservée pour une prochaine décision?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224" w:type="dxa"/>
            <w:gridSpan w:val="2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0"/>
                <w:i w:val="false"/>
                <w:sz w:val="21"/>
              </w:rPr>
              <w:t>Cocher le statut qui décrit la situation après le suivi. Conserver une courte justification lorsque l’action est ajustée, abandonnée ou reportée.</w:t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L — Registre décision–action–suivi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