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b/>
          <w:bCs/>
          <w:sz w:val="32"/>
          <w:szCs w:val="32"/>
        </w:rPr>
        <w:t xml:space="preserve">Métricas de ramificación y buclicidad en el juego La Escalera</w:t>
      </w:r>
    </w:p>
    <w:p>
      <w:pPr>
        <w:spacing w:after="260"/>
        <w:jc w:val="center"/>
      </w:pPr>
      <w:r>
        <w:rPr>
          <w:sz w:val="26"/>
          <w:szCs w:val="26"/>
        </w:rPr>
        <w:t xml:space="preserve">Diagnóstico de las ecuaciones vigentes y propuesta de consolidación</w:t>
      </w:r>
    </w:p>
    <w:p>
      <w:pPr>
        <w:spacing w:after="50"/>
        <w:jc w:val="center"/>
      </w:pPr>
      <w:r>
        <w:rPr>
          <w:sz w:val="22"/>
          <w:szCs w:val="22"/>
        </w:rPr>
        <w:t xml:space="preserve">Néstor Andrés Paipa</w:t>
      </w:r>
    </w:p>
    <w:p>
      <w:pPr>
        <w:spacing w:after="50"/>
        <w:jc w:val="center"/>
      </w:pPr>
      <w:r>
        <w:rPr>
          <w:sz w:val="20"/>
          <w:szCs w:val="20"/>
        </w:rPr>
        <w:t xml:space="preserve">Maestría en Educación en Tecnología · Universidad Distrital Francisco José de Caldas</w:t>
      </w:r>
    </w:p>
    <w:p>
      <w:pPr>
        <w:spacing w:after="320"/>
        <w:jc w:val="center"/>
      </w:pPr>
      <w:r>
        <w:rPr>
          <w:i/>
          <w:iCs/>
          <w:sz w:val="20"/>
          <w:szCs w:val="20"/>
        </w:rPr>
        <w:t xml:space="preserve">Documento de consulta al director · 6 de octubre de 2026</w:t>
      </w:r>
    </w:p>
    <w:p>
      <w:pPr>
        <w:pBdr>
          <w:top w:val="single" w:color="000000" w:sz="6"/>
        </w:pBdr>
        <w:spacing w:after="90"/>
        <w:jc w:val="left"/>
      </w:pPr>
      <w:r>
        <w:rPr>
          <w:b/>
          <w:bCs/>
          <w:sz w:val="22"/>
          <w:szCs w:val="22"/>
        </w:rPr>
        <w:t xml:space="preserve">Resumen</w:t>
      </w:r>
    </w:p>
    <w:p>
      <w:pPr>
        <w:spacing w:after="120" w:line="252"/>
        <w:ind w:left="240" w:right="240"/>
        <w:jc w:val="both"/>
      </w:pPr>
      <w:r>
        <w:rPr>
          <w:i/>
          <w:iCs/>
          <w:sz w:val="21"/>
          <w:szCs w:val="21"/>
        </w:rPr>
        <w:t xml:space="preserve">Las métricas de ramificación y buclicidad que esta investigación hereda del trabajo de grado de Liévano Chaparro y Molina Monguí (2022) presentan dos problemas que conviene resolver antes de aplicarlas al análisis de datos. Primero, la ecuación de calidad del movimiento, tal como está redactada en el documento de tesis, toma el valor cero para todo movimiento, porque sus dos términos designan la misma distancia; en consecuencia, la ramificación por intento y por experiencia también serían nulas. Segundo, la ecuación de buclicidad es correcta —se verificó frente a la totalidad de los ciclos del grafo del juego, donde acierta con precisión— pero predice el tamaño de un bucle, no la cantidad de bucles que el aprendiz recorre; por tanto no permite responder cuántas veces el estudiante regresó a un estado ya visitado. Este documento expone el diagnóstico, lo contrasta con datos verificados del grafo de estados del juego, lo fundamenta en literatura especializada y propone una consolidación que conserva íntegramente el aparato del trabajo fuente. Se cierra con cuatro preguntas concretas para la decisión del director.</w:t>
      </w:r>
    </w:p>
    <w:p>
      <w:pPr>
        <w:pBdr>
          <w:bottom w:val="single" w:color="000000" w:sz="6"/>
        </w:pBdr>
        <w:spacing w:after="200" w:line="252"/>
        <w:ind w:left="240" w:right="240"/>
        <w:jc w:val="both"/>
      </w:pPr>
      <w:r>
        <w:rPr>
          <w:b/>
          <w:bCs/>
          <w:i/>
          <w:iCs/>
          <w:sz w:val="21"/>
          <w:szCs w:val="21"/>
        </w:rPr>
        <w:t xml:space="preserve">Palabras clave: </w:t>
      </w:r>
      <w:r>
        <w:rPr>
          <w:i/>
          <w:iCs/>
          <w:sz w:val="21"/>
          <w:szCs w:val="21"/>
        </w:rPr>
        <w:t xml:space="preserve">espacio del problema, grafo de estados, número ciclomático, control inhibitorio, trayectorias de aprendizaje.</w:t>
      </w:r>
    </w:p>
    <w:p>
      <w:pPr>
        <w:pStyle w:val="Heading1"/>
        <w:spacing w:after="160" w:before="360"/>
        <w:jc w:val="left"/>
      </w:pPr>
      <w:r>
        <w:rPr>
          <w:b/>
          <w:bCs/>
          <w:sz w:val="26"/>
          <w:szCs w:val="26"/>
        </w:rPr>
        <w:t xml:space="preserve">1. Objeto de este documento</w:t>
      </w:r>
    </w:p>
    <w:p>
      <w:pPr>
        <w:spacing w:after="140" w:before="0" w:line="276"/>
        <w:jc w:val="both"/>
      </w:pPr>
      <w:r>
        <w:t xml:space="preserve">Durante la preparación del módulo de análisis de trayectorias se revisaron las ecuaciones que miden la ramificación y la buclicidad del recorrido del aprendiz sobre el espacio del problema del juego La Escalera. Esa revisión encontró dos problemas de fondo que afectan directamente a la viabilidad del análisis de datos previsto, y que no pueden resolverse sin una decisión metodológica.</w:t>
      </w:r>
    </w:p>
    <w:p>
      <w:pPr>
        <w:spacing w:after="140" w:before="0" w:line="276"/>
        <w:jc w:val="both"/>
      </w:pPr>
      <w:r>
        <w:t xml:space="preserve">El documento es autocontenido: transcribe las ecuaciones y los pasajes pertinentes, de modo que su lectura no exige consultar el documento de tesis ni el trabajo de grado fuente. Se organiza así: la sección 2 reconstruye el origen y el estado actual de las métricas; la sección 3 presenta las propiedades verificadas del grafo del juego, que sirven de evidencia; las secciones 4 y 5 exponen cada uno de los dos problemas; la sección 6 fundamenta la propuesta en literatura especializada; la sección 7 consolida la propuesta; y la sección 8 formula las preguntas que se someten a decisión.</w:t>
      </w:r>
    </w:p>
    <w:p>
      <w:pPr>
        <w:pStyle w:val="Heading1"/>
        <w:spacing w:after="160" w:before="360"/>
        <w:jc w:val="left"/>
      </w:pPr>
      <w:r>
        <w:rPr>
          <w:b/>
          <w:bCs/>
          <w:sz w:val="26"/>
          <w:szCs w:val="26"/>
        </w:rPr>
        <w:t xml:space="preserve">2. Antecedentes: las métricas heredadas</w:t>
      </w:r>
    </w:p>
    <w:p>
      <w:pPr>
        <w:pStyle w:val="Heading2"/>
        <w:spacing w:after="110" w:before="240"/>
        <w:jc w:val="left"/>
      </w:pPr>
      <w:r>
        <w:rPr>
          <w:b/>
          <w:bCs/>
          <w:i/>
          <w:iCs/>
          <w:sz w:val="23"/>
          <w:szCs w:val="23"/>
        </w:rPr>
        <w:t xml:space="preserve">2.1. Origen</w:t>
      </w:r>
    </w:p>
    <w:p>
      <w:pPr>
        <w:spacing w:after="140" w:before="0" w:line="276"/>
        <w:jc w:val="both"/>
      </w:pPr>
      <w:r>
        <w:t xml:space="preserve">Las dos métricas provienen del trabajo de grado de Liévano Chaparro y Molina Monguí (2022), desarrollado en esta misma maestría, que construyó el modelo computacional del espacio del problema del juego y analizó las trayectorias de diez estudios de caso. En su sección 4.5 los autores proponen tres métricas —bucles, ramificaciones y mejores opciones continuas— y afirman que ellas "permiten modelar matemáticamente los caminos transitados y verificar en cierto modo las trayectorias de aprendizaje, respecto a la solución del experto".</w:t>
      </w:r>
    </w:p>
    <w:p>
      <w:pPr>
        <w:spacing w:after="140" w:before="0" w:line="276"/>
        <w:jc w:val="both"/>
      </w:pPr>
      <w:r>
        <w:t xml:space="preserve">La presente investigación retoma y adapta dos de ellas. La decisión metodológica de usarlas, por tanto, ya está tomada y constituye una continuidad deliberada con el trabajo fuente. Lo que aquí se somete a consulta no es si usarlas, sino cómo precisarlas para que resulten calculables.</w:t>
      </w:r>
    </w:p>
    <w:p>
      <w:pPr>
        <w:pStyle w:val="Heading2"/>
        <w:spacing w:after="110" w:before="240"/>
        <w:jc w:val="left"/>
      </w:pPr>
      <w:r>
        <w:rPr>
          <w:b/>
          <w:bCs/>
          <w:i/>
          <w:iCs/>
          <w:sz w:val="23"/>
          <w:szCs w:val="23"/>
        </w:rPr>
        <w:t xml:space="preserve">2.2. Las ecuaciones, transcritas</w:t>
      </w:r>
    </w:p>
    <w:p>
      <w:pPr>
        <w:spacing w:after="140" w:before="0" w:line="276"/>
        <w:jc w:val="both"/>
      </w:pPr>
      <w:r>
        <w:t xml:space="preserve">La Tabla 1 reúne las seis ecuaciones tal como figuran hoy en el documento de tesis, junto con la ruta óptima que les sirve de referencia.</w:t>
      </w:r>
    </w:p>
    <w:tbl>
      <w:tblPr>
        <w:tblW w:type="dxa" w:w="9360"/>
        <w:tblBorders>
          <w:top w:val="single" w:color="000000" w:sz="6"/>
          <w:left w:val="none"/>
          <w:bottom w:val="single" w:color="000000" w:sz="6"/>
          <w:right w:val="none"/>
          <w:insideH w:val="single" w:color="AAAAAA" w:sz="2"/>
          <w:insideV w:val="none"/>
        </w:tblBorders>
      </w:tblPr>
      <w:tblGrid>
        <w:gridCol w:w="2500"/>
        <w:gridCol w:w="3100"/>
        <w:gridCol w:w="3760"/>
      </w:tblGrid>
      <w:tr>
        <w:trPr>
          <w:tblHeader/>
        </w:trPr>
        <w:tc>
          <w:tcPr>
            <w:tcW w:type="dxa" w:w="2500"/>
            <w:shd w:fill="EFEFEF" w:color="auto" w:val="clear"/>
            <w:tcMar>
              <w:top w:type="dxa" w:w="60"/>
              <w:left w:type="dxa" w:w="110"/>
              <w:bottom w:type="dxa" w:w="60"/>
              <w:right w:type="dxa" w:w="110"/>
            </w:tcMar>
          </w:tcPr>
          <w:p>
            <w:pPr>
              <w:spacing w:after="0" w:line="240"/>
              <w:jc w:val="left"/>
            </w:pPr>
            <w:r>
              <w:rPr>
                <w:b/>
                <w:bCs/>
                <w:sz w:val="20"/>
                <w:szCs w:val="20"/>
              </w:rPr>
              <w:t xml:space="preserve">Métrica</w:t>
            </w:r>
          </w:p>
        </w:tc>
        <w:tc>
          <w:tcPr>
            <w:tcW w:type="dxa" w:w="3100"/>
            <w:shd w:fill="EFEFEF" w:color="auto" w:val="clear"/>
            <w:tcMar>
              <w:top w:type="dxa" w:w="60"/>
              <w:left w:type="dxa" w:w="110"/>
              <w:bottom w:type="dxa" w:w="60"/>
              <w:right w:type="dxa" w:w="110"/>
            </w:tcMar>
          </w:tcPr>
          <w:p>
            <w:pPr>
              <w:spacing w:after="0" w:line="240"/>
              <w:jc w:val="left"/>
            </w:pPr>
            <w:r>
              <w:rPr>
                <w:b/>
                <w:bCs/>
                <w:sz w:val="20"/>
                <w:szCs w:val="20"/>
              </w:rPr>
              <w:t xml:space="preserve">Ecuación</w:t>
            </w:r>
          </w:p>
        </w:tc>
        <w:tc>
          <w:tcPr>
            <w:tcW w:type="dxa" w:w="3760"/>
            <w:shd w:fill="EFEFEF" w:color="auto" w:val="clear"/>
            <w:tcMar>
              <w:top w:type="dxa" w:w="60"/>
              <w:left w:type="dxa" w:w="110"/>
              <w:bottom w:type="dxa" w:w="60"/>
              <w:right w:type="dxa" w:w="110"/>
            </w:tcMar>
          </w:tcPr>
          <w:p>
            <w:pPr>
              <w:spacing w:after="0" w:line="240"/>
              <w:jc w:val="left"/>
            </w:pPr>
            <w:r>
              <w:rPr>
                <w:b/>
                <w:bCs/>
                <w:sz w:val="20"/>
                <w:szCs w:val="20"/>
              </w:rPr>
              <w:t xml:space="preserve">Qué representa</w:t>
            </w:r>
          </w:p>
        </w:tc>
      </w:tr>
      <w:tr>
        <w:tc>
          <w:tcPr>
            <w:tcW w:type="dxa" w:w="2500"/>
            <w:tcMar>
              <w:top w:type="dxa" w:w="60"/>
              <w:left w:type="dxa" w:w="110"/>
              <w:bottom w:type="dxa" w:w="60"/>
              <w:right w:type="dxa" w:w="110"/>
            </w:tcMar>
          </w:tcPr>
          <w:p>
            <w:pPr>
              <w:spacing w:after="0" w:line="240"/>
              <w:jc w:val="left"/>
            </w:pPr>
            <w:r>
              <w:rPr>
                <w:b w:val="false"/>
                <w:bCs w:val="false"/>
                <w:sz w:val="20"/>
                <w:szCs w:val="20"/>
              </w:rPr>
              <w:t xml:space="preserve">Ruta óptima</w:t>
            </w:r>
          </w:p>
        </w:tc>
        <w:tc>
          <w:tcPr>
            <w:tcW w:type="dxa" w:w="3100"/>
            <w:tcMar>
              <w:top w:type="dxa" w:w="60"/>
              <w:left w:type="dxa" w:w="110"/>
              <w:bottom w:type="dxa" w:w="60"/>
              <w:right w:type="dxa" w:w="110"/>
            </w:tcMar>
          </w:tcPr>
          <w:p>
            <w:pPr>
              <w:spacing w:after="0" w:line="240"/>
              <w:jc w:val="left"/>
            </w:pPr>
            <w:r>
              <w:rPr>
                <w:i/>
                <w:iCs/>
                <w:sz w:val="20"/>
                <w:szCs w:val="20"/>
              </w:rPr>
              <w:t xml:space="preserve">D</w:t>
            </w:r>
            <w:r>
              <w:rPr>
                <w:i/>
                <w:iCs/>
                <w:sz w:val="20"/>
                <w:szCs w:val="20"/>
                <w:vertAlign w:val="subscript"/>
              </w:rPr>
              <w:t xml:space="preserve">mín</w:t>
            </w:r>
            <w:r>
              <w:rPr>
                <w:i/>
                <w:iCs/>
                <w:sz w:val="20"/>
                <w:szCs w:val="20"/>
              </w:rPr>
              <w:t xml:space="preserve"> = n² + 2n</w:t>
            </w:r>
          </w:p>
        </w:tc>
        <w:tc>
          <w:tcPr>
            <w:tcW w:type="dxa" w:w="3760"/>
            <w:tcMar>
              <w:top w:type="dxa" w:w="60"/>
              <w:left w:type="dxa" w:w="110"/>
              <w:bottom w:type="dxa" w:w="60"/>
              <w:right w:type="dxa" w:w="110"/>
            </w:tcMar>
          </w:tcPr>
          <w:p>
            <w:pPr>
              <w:spacing w:after="0" w:line="240"/>
              <w:jc w:val="left"/>
            </w:pPr>
            <w:r>
              <w:rPr>
                <w:b w:val="false"/>
                <w:bCs w:val="false"/>
                <w:sz w:val="20"/>
                <w:szCs w:val="20"/>
              </w:rPr>
              <w:t xml:space="preserve">Número mínimo de movimientos para ganar. Con cinco fichas por lado: 35.</w:t>
            </w:r>
          </w:p>
        </w:tc>
      </w:tr>
      <w:tr>
        <w:tc>
          <w:tcPr>
            <w:tcW w:type="dxa" w:w="2500"/>
            <w:tcMar>
              <w:top w:type="dxa" w:w="60"/>
              <w:left w:type="dxa" w:w="110"/>
              <w:bottom w:type="dxa" w:w="60"/>
              <w:right w:type="dxa" w:w="110"/>
            </w:tcMar>
          </w:tcPr>
          <w:p>
            <w:pPr>
              <w:spacing w:after="0" w:line="240"/>
              <w:jc w:val="left"/>
            </w:pPr>
            <w:r>
              <w:rPr>
                <w:b w:val="false"/>
                <w:bCs w:val="false"/>
                <w:sz w:val="20"/>
                <w:szCs w:val="20"/>
              </w:rPr>
              <w:t xml:space="preserve">Buclicidad por intento, caso par</w:t>
            </w:r>
          </w:p>
        </w:tc>
        <w:tc>
          <w:tcPr>
            <w:tcW w:type="dxa" w:w="3100"/>
            <w:tcMar>
              <w:top w:type="dxa" w:w="60"/>
              <w:left w:type="dxa" w:w="110"/>
              <w:bottom w:type="dxa" w:w="60"/>
              <w:right w:type="dxa" w:w="110"/>
            </w:tcMar>
          </w:tcPr>
          <w:p>
            <w:pPr>
              <w:spacing w:after="0" w:line="240"/>
              <w:jc w:val="left"/>
            </w:pPr>
            <w:r>
              <w:rPr>
                <w:i/>
                <w:iCs/>
                <w:sz w:val="20"/>
                <w:szCs w:val="20"/>
              </w:rPr>
              <w:t xml:space="preserve">B</w:t>
            </w:r>
            <w:r>
              <w:rPr>
                <w:i/>
                <w:iCs/>
                <w:sz w:val="20"/>
                <w:szCs w:val="20"/>
                <w:vertAlign w:val="subscript"/>
              </w:rPr>
              <w:t xml:space="preserve">i</w:t>
            </w:r>
            <w:r>
              <w:rPr>
                <w:i/>
                <w:iCs/>
                <w:sz w:val="20"/>
                <w:szCs w:val="20"/>
              </w:rPr>
              <w:t xml:space="preserve"> = n²/2 + 2n</w:t>
            </w:r>
          </w:p>
        </w:tc>
        <w:tc>
          <w:tcPr>
            <w:tcW w:type="dxa" w:w="3760"/>
            <w:tcMar>
              <w:top w:type="dxa" w:w="60"/>
              <w:left w:type="dxa" w:w="110"/>
              <w:bottom w:type="dxa" w:w="60"/>
              <w:right w:type="dxa" w:w="110"/>
            </w:tcMar>
          </w:tcPr>
          <w:p>
            <w:pPr>
              <w:spacing w:after="0" w:line="240"/>
              <w:jc w:val="left"/>
            </w:pPr>
            <w:r>
              <w:rPr>
                <w:b w:val="false"/>
                <w:bCs w:val="false"/>
                <w:sz w:val="20"/>
                <w:szCs w:val="20"/>
              </w:rPr>
              <w:t xml:space="preserve">Tamaño de un bucle completo en el que intervienen n fichas.</w:t>
            </w:r>
          </w:p>
        </w:tc>
      </w:tr>
      <w:tr>
        <w:tc>
          <w:tcPr>
            <w:tcW w:type="dxa" w:w="2500"/>
            <w:tcMar>
              <w:top w:type="dxa" w:w="60"/>
              <w:left w:type="dxa" w:w="110"/>
              <w:bottom w:type="dxa" w:w="60"/>
              <w:right w:type="dxa" w:w="110"/>
            </w:tcMar>
          </w:tcPr>
          <w:p>
            <w:pPr>
              <w:spacing w:after="0" w:line="240"/>
              <w:jc w:val="left"/>
            </w:pPr>
            <w:r>
              <w:rPr>
                <w:b w:val="false"/>
                <w:bCs w:val="false"/>
                <w:sz w:val="20"/>
                <w:szCs w:val="20"/>
              </w:rPr>
              <w:t xml:space="preserve">Buclicidad por intento, caso impar</w:t>
            </w:r>
          </w:p>
        </w:tc>
        <w:tc>
          <w:tcPr>
            <w:tcW w:type="dxa" w:w="3100"/>
            <w:tcMar>
              <w:top w:type="dxa" w:w="60"/>
              <w:left w:type="dxa" w:w="110"/>
              <w:bottom w:type="dxa" w:w="60"/>
              <w:right w:type="dxa" w:w="110"/>
            </w:tcMar>
          </w:tcPr>
          <w:p>
            <w:pPr>
              <w:spacing w:after="0" w:line="240"/>
              <w:jc w:val="left"/>
            </w:pPr>
            <w:r>
              <w:rPr>
                <w:i/>
                <w:iCs/>
                <w:sz w:val="20"/>
                <w:szCs w:val="20"/>
              </w:rPr>
              <w:t xml:space="preserve">B</w:t>
            </w:r>
            <w:r>
              <w:rPr>
                <w:i/>
                <w:iCs/>
                <w:sz w:val="20"/>
                <w:szCs w:val="20"/>
                <w:vertAlign w:val="subscript"/>
              </w:rPr>
              <w:t xml:space="preserve">i</w:t>
            </w:r>
            <w:r>
              <w:rPr>
                <w:i/>
                <w:iCs/>
                <w:sz w:val="20"/>
                <w:szCs w:val="20"/>
              </w:rPr>
              <w:t xml:space="preserve"> = n²/2 + 2n − 1/2</w:t>
            </w:r>
          </w:p>
        </w:tc>
        <w:tc>
          <w:tcPr>
            <w:tcW w:type="dxa" w:w="3760"/>
            <w:tcMar>
              <w:top w:type="dxa" w:w="60"/>
              <w:left w:type="dxa" w:w="110"/>
              <w:bottom w:type="dxa" w:w="60"/>
              <w:right w:type="dxa" w:w="110"/>
            </w:tcMar>
          </w:tcPr>
          <w:p>
            <w:pPr>
              <w:spacing w:after="0" w:line="240"/>
              <w:jc w:val="left"/>
            </w:pPr>
            <w:r>
              <w:rPr>
                <w:b w:val="false"/>
                <w:bCs w:val="false"/>
                <w:sz w:val="20"/>
                <w:szCs w:val="20"/>
              </w:rPr>
              <w:t xml:space="preserve">Lo mismo, cuando interviene un número impar de fichas.</w:t>
            </w:r>
          </w:p>
        </w:tc>
      </w:tr>
      <w:tr>
        <w:tc>
          <w:tcPr>
            <w:tcW w:type="dxa" w:w="2500"/>
            <w:tcMar>
              <w:top w:type="dxa" w:w="60"/>
              <w:left w:type="dxa" w:w="110"/>
              <w:bottom w:type="dxa" w:w="60"/>
              <w:right w:type="dxa" w:w="110"/>
            </w:tcMar>
          </w:tcPr>
          <w:p>
            <w:pPr>
              <w:spacing w:after="0" w:line="240"/>
              <w:jc w:val="left"/>
            </w:pPr>
            <w:r>
              <w:rPr>
                <w:b w:val="false"/>
                <w:bCs w:val="false"/>
                <w:sz w:val="20"/>
                <w:szCs w:val="20"/>
              </w:rPr>
              <w:t xml:space="preserve">Buclicidad, forma general</w:t>
            </w:r>
          </w:p>
        </w:tc>
        <w:tc>
          <w:tcPr>
            <w:tcW w:type="dxa" w:w="3100"/>
            <w:tcMar>
              <w:top w:type="dxa" w:w="60"/>
              <w:left w:type="dxa" w:w="110"/>
              <w:bottom w:type="dxa" w:w="60"/>
              <w:right w:type="dxa" w:w="110"/>
            </w:tcMar>
          </w:tcPr>
          <w:p>
            <w:pPr>
              <w:spacing w:after="0" w:line="240"/>
              <w:jc w:val="left"/>
            </w:pPr>
            <w:r>
              <w:rPr>
                <w:i/>
                <w:iCs/>
                <w:sz w:val="20"/>
                <w:szCs w:val="20"/>
              </w:rPr>
              <w:t xml:space="preserve">B</w:t>
            </w:r>
            <w:r>
              <w:rPr>
                <w:i/>
                <w:iCs/>
                <w:sz w:val="20"/>
                <w:szCs w:val="20"/>
                <w:vertAlign w:val="subscript"/>
              </w:rPr>
              <w:t xml:space="preserve">i</w:t>
            </w:r>
            <w:r>
              <w:rPr>
                <w:i/>
                <w:iCs/>
                <w:sz w:val="20"/>
                <w:szCs w:val="20"/>
              </w:rPr>
              <w:t xml:space="preserve"> = n²/2 + 2n + C</w:t>
            </w:r>
          </w:p>
        </w:tc>
        <w:tc>
          <w:tcPr>
            <w:tcW w:type="dxa" w:w="3760"/>
            <w:tcMar>
              <w:top w:type="dxa" w:w="60"/>
              <w:left w:type="dxa" w:w="110"/>
              <w:bottom w:type="dxa" w:w="60"/>
              <w:right w:type="dxa" w:w="110"/>
            </w:tcMar>
          </w:tcPr>
          <w:p>
            <w:pPr>
              <w:spacing w:after="0" w:line="240"/>
              <w:jc w:val="left"/>
            </w:pPr>
            <w:r>
              <w:rPr>
                <w:b w:val="false"/>
                <w:bCs w:val="false"/>
                <w:sz w:val="20"/>
                <w:szCs w:val="20"/>
              </w:rPr>
              <w:t xml:space="preserve">Unifica los dos casos; C vale 0 en el par y −1/2 en el impar.</w:t>
            </w:r>
          </w:p>
        </w:tc>
      </w:tr>
      <w:tr>
        <w:tc>
          <w:tcPr>
            <w:tcW w:type="dxa" w:w="2500"/>
            <w:tcMar>
              <w:top w:type="dxa" w:w="60"/>
              <w:left w:type="dxa" w:w="110"/>
              <w:bottom w:type="dxa" w:w="60"/>
              <w:right w:type="dxa" w:w="110"/>
            </w:tcMar>
          </w:tcPr>
          <w:p>
            <w:pPr>
              <w:spacing w:after="0" w:line="240"/>
              <w:jc w:val="left"/>
            </w:pPr>
            <w:r>
              <w:rPr>
                <w:b w:val="false"/>
                <w:bCs w:val="false"/>
                <w:sz w:val="20"/>
                <w:szCs w:val="20"/>
              </w:rPr>
              <w:t xml:space="preserve">Buclicidad por experiencia</w:t>
            </w:r>
          </w:p>
        </w:tc>
        <w:tc>
          <w:tcPr>
            <w:tcW w:type="dxa" w:w="3100"/>
            <w:tcMar>
              <w:top w:type="dxa" w:w="60"/>
              <w:left w:type="dxa" w:w="110"/>
              <w:bottom w:type="dxa" w:w="60"/>
              <w:right w:type="dxa" w:w="110"/>
            </w:tcMar>
          </w:tcPr>
          <w:p>
            <w:pPr>
              <w:spacing w:after="0" w:line="240"/>
              <w:jc w:val="left"/>
            </w:pPr>
            <w:r>
              <w:rPr>
                <w:i/>
                <w:iCs/>
                <w:sz w:val="20"/>
                <w:szCs w:val="20"/>
              </w:rPr>
              <w:t xml:space="preserve">B</w:t>
            </w:r>
            <w:r>
              <w:rPr>
                <w:i/>
                <w:iCs/>
                <w:sz w:val="20"/>
                <w:szCs w:val="20"/>
                <w:vertAlign w:val="subscript"/>
              </w:rPr>
              <w:t xml:space="preserve">e</w:t>
            </w:r>
            <w:r>
              <w:rPr>
                <w:i/>
                <w:iCs/>
                <w:sz w:val="20"/>
                <w:szCs w:val="20"/>
              </w:rPr>
              <w:t xml:space="preserve"> = (1/m) Σ B</w:t>
            </w:r>
            <w:r>
              <w:rPr>
                <w:i/>
                <w:iCs/>
                <w:sz w:val="20"/>
                <w:szCs w:val="20"/>
                <w:vertAlign w:val="subscript"/>
              </w:rPr>
              <w:t xml:space="preserve">i</w:t>
            </w:r>
          </w:p>
        </w:tc>
        <w:tc>
          <w:tcPr>
            <w:tcW w:type="dxa" w:w="3760"/>
            <w:tcMar>
              <w:top w:type="dxa" w:w="60"/>
              <w:left w:type="dxa" w:w="110"/>
              <w:bottom w:type="dxa" w:w="60"/>
              <w:right w:type="dxa" w:w="110"/>
            </w:tcMar>
          </w:tcPr>
          <w:p>
            <w:pPr>
              <w:spacing w:after="0" w:line="240"/>
              <w:jc w:val="left"/>
            </w:pPr>
            <w:r>
              <w:rPr>
                <w:b w:val="false"/>
                <w:bCs w:val="false"/>
                <w:sz w:val="20"/>
                <w:szCs w:val="20"/>
              </w:rPr>
              <w:t xml:space="preserve">Promedio del tamaño de bucle sobre m intentos.</w:t>
            </w:r>
          </w:p>
        </w:tc>
      </w:tr>
      <w:tr>
        <w:tc>
          <w:tcPr>
            <w:tcW w:type="dxa" w:w="2500"/>
            <w:tcMar>
              <w:top w:type="dxa" w:w="60"/>
              <w:left w:type="dxa" w:w="110"/>
              <w:bottom w:type="dxa" w:w="60"/>
              <w:right w:type="dxa" w:w="110"/>
            </w:tcMar>
          </w:tcPr>
          <w:p>
            <w:pPr>
              <w:spacing w:after="0" w:line="240"/>
              <w:jc w:val="left"/>
            </w:pPr>
            <w:r>
              <w:rPr>
                <w:b w:val="false"/>
                <w:bCs w:val="false"/>
                <w:sz w:val="20"/>
                <w:szCs w:val="20"/>
              </w:rPr>
              <w:t xml:space="preserve">Calidad del movimiento</w:t>
            </w:r>
          </w:p>
        </w:tc>
        <w:tc>
          <w:tcPr>
            <w:tcW w:type="dxa" w:w="3100"/>
            <w:tcMar>
              <w:top w:type="dxa" w:w="60"/>
              <w:left w:type="dxa" w:w="110"/>
              <w:bottom w:type="dxa" w:w="60"/>
              <w:right w:type="dxa" w:w="110"/>
            </w:tcMar>
          </w:tcPr>
          <w:p>
            <w:pPr>
              <w:spacing w:after="0" w:line="240"/>
              <w:jc w:val="left"/>
            </w:pPr>
            <w:r>
              <w:rPr>
                <w:i/>
                <w:iCs/>
                <w:sz w:val="20"/>
                <w:szCs w:val="20"/>
              </w:rPr>
              <w:t xml:space="preserve">C</w:t>
            </w:r>
            <w:r>
              <w:rPr>
                <w:i/>
                <w:iCs/>
                <w:sz w:val="20"/>
                <w:szCs w:val="20"/>
                <w:vertAlign w:val="subscript"/>
              </w:rPr>
              <w:t xml:space="preserve">m</w:t>
            </w:r>
            <w:r>
              <w:rPr>
                <w:i/>
                <w:iCs/>
                <w:sz w:val="20"/>
                <w:szCs w:val="20"/>
              </w:rPr>
              <w:t xml:space="preserve"> = | 1 − D</w:t>
            </w:r>
            <w:r>
              <w:rPr>
                <w:i/>
                <w:iCs/>
                <w:sz w:val="20"/>
                <w:szCs w:val="20"/>
                <w:vertAlign w:val="subscript"/>
              </w:rPr>
              <w:t xml:space="preserve">j</w:t>
            </w:r>
            <w:r>
              <w:rPr>
                <w:i/>
                <w:iCs/>
                <w:sz w:val="20"/>
                <w:szCs w:val="20"/>
              </w:rPr>
              <w:t xml:space="preserve"> / D</w:t>
            </w:r>
            <w:r>
              <w:rPr>
                <w:i/>
                <w:iCs/>
                <w:sz w:val="20"/>
                <w:szCs w:val="20"/>
                <w:vertAlign w:val="subscript"/>
              </w:rPr>
              <w:t xml:space="preserve">mín</w:t>
            </w:r>
            <w:r>
              <w:rPr>
                <w:i/>
                <w:iCs/>
                <w:sz w:val="20"/>
                <w:szCs w:val="20"/>
              </w:rPr>
              <w:t xml:space="preserve"> |</w:t>
            </w:r>
          </w:p>
        </w:tc>
        <w:tc>
          <w:tcPr>
            <w:tcW w:type="dxa" w:w="3760"/>
            <w:tcMar>
              <w:top w:type="dxa" w:w="60"/>
              <w:left w:type="dxa" w:w="110"/>
              <w:bottom w:type="dxa" w:w="60"/>
              <w:right w:type="dxa" w:w="110"/>
            </w:tcMar>
          </w:tcPr>
          <w:p>
            <w:pPr>
              <w:spacing w:after="0" w:line="240"/>
              <w:jc w:val="left"/>
            </w:pPr>
            <w:r>
              <w:rPr>
                <w:b w:val="false"/>
                <w:bCs w:val="false"/>
                <w:sz w:val="20"/>
                <w:szCs w:val="20"/>
              </w:rPr>
              <w:t xml:space="preserve">Desviación de un movimiento individual respecto del óptimo.</w:t>
            </w:r>
          </w:p>
        </w:tc>
      </w:tr>
      <w:tr>
        <w:tc>
          <w:tcPr>
            <w:tcW w:type="dxa" w:w="2500"/>
            <w:tcMar>
              <w:top w:type="dxa" w:w="60"/>
              <w:left w:type="dxa" w:w="110"/>
              <w:bottom w:type="dxa" w:w="60"/>
              <w:right w:type="dxa" w:w="110"/>
            </w:tcMar>
          </w:tcPr>
          <w:p>
            <w:pPr>
              <w:spacing w:after="0" w:line="240"/>
              <w:jc w:val="left"/>
            </w:pPr>
            <w:r>
              <w:rPr>
                <w:b w:val="false"/>
                <w:bCs w:val="false"/>
                <w:sz w:val="20"/>
                <w:szCs w:val="20"/>
              </w:rPr>
              <w:t xml:space="preserve">Ramificación por intento</w:t>
            </w:r>
          </w:p>
        </w:tc>
        <w:tc>
          <w:tcPr>
            <w:tcW w:type="dxa" w:w="3100"/>
            <w:tcMar>
              <w:top w:type="dxa" w:w="60"/>
              <w:left w:type="dxa" w:w="110"/>
              <w:bottom w:type="dxa" w:w="60"/>
              <w:right w:type="dxa" w:w="110"/>
            </w:tcMar>
          </w:tcPr>
          <w:p>
            <w:pPr>
              <w:spacing w:after="0" w:line="240"/>
              <w:jc w:val="left"/>
            </w:pPr>
            <w:r>
              <w:rPr>
                <w:i/>
                <w:iCs/>
                <w:sz w:val="20"/>
                <w:szCs w:val="20"/>
              </w:rPr>
              <w:t xml:space="preserve">R</w:t>
            </w:r>
            <w:r>
              <w:rPr>
                <w:i/>
                <w:iCs/>
                <w:sz w:val="20"/>
                <w:szCs w:val="20"/>
                <w:vertAlign w:val="subscript"/>
              </w:rPr>
              <w:t xml:space="preserve">i</w:t>
            </w:r>
            <w:r>
              <w:rPr>
                <w:i/>
                <w:iCs/>
                <w:sz w:val="20"/>
                <w:szCs w:val="20"/>
              </w:rPr>
              <w:t xml:space="preserve"> = Σ C</w:t>
            </w:r>
            <w:r>
              <w:rPr>
                <w:i/>
                <w:iCs/>
                <w:sz w:val="20"/>
                <w:szCs w:val="20"/>
                <w:vertAlign w:val="subscript"/>
              </w:rPr>
              <w:t xml:space="preserve">m</w:t>
            </w:r>
          </w:p>
        </w:tc>
        <w:tc>
          <w:tcPr>
            <w:tcW w:type="dxa" w:w="3760"/>
            <w:tcMar>
              <w:top w:type="dxa" w:w="60"/>
              <w:left w:type="dxa" w:w="110"/>
              <w:bottom w:type="dxa" w:w="60"/>
              <w:right w:type="dxa" w:w="110"/>
            </w:tcMar>
          </w:tcPr>
          <w:p>
            <w:pPr>
              <w:spacing w:after="0" w:line="240"/>
              <w:jc w:val="left"/>
            </w:pPr>
            <w:r>
              <w:rPr>
                <w:b w:val="false"/>
                <w:bCs w:val="false"/>
                <w:sz w:val="20"/>
                <w:szCs w:val="20"/>
              </w:rPr>
              <w:t xml:space="preserve">Desviación acumulada a lo largo de un intento.</w:t>
            </w:r>
          </w:p>
        </w:tc>
      </w:tr>
      <w:tr>
        <w:tc>
          <w:tcPr>
            <w:tcW w:type="dxa" w:w="2500"/>
            <w:tcMar>
              <w:top w:type="dxa" w:w="60"/>
              <w:left w:type="dxa" w:w="110"/>
              <w:bottom w:type="dxa" w:w="60"/>
              <w:right w:type="dxa" w:w="110"/>
            </w:tcMar>
          </w:tcPr>
          <w:p>
            <w:pPr>
              <w:spacing w:after="0" w:line="240"/>
              <w:jc w:val="left"/>
            </w:pPr>
            <w:r>
              <w:rPr>
                <w:b w:val="false"/>
                <w:bCs w:val="false"/>
                <w:sz w:val="20"/>
                <w:szCs w:val="20"/>
              </w:rPr>
              <w:t xml:space="preserve">Ramificación por experiencia</w:t>
            </w:r>
          </w:p>
        </w:tc>
        <w:tc>
          <w:tcPr>
            <w:tcW w:type="dxa" w:w="3100"/>
            <w:tcMar>
              <w:top w:type="dxa" w:w="60"/>
              <w:left w:type="dxa" w:w="110"/>
              <w:bottom w:type="dxa" w:w="60"/>
              <w:right w:type="dxa" w:w="110"/>
            </w:tcMar>
          </w:tcPr>
          <w:p>
            <w:pPr>
              <w:spacing w:after="0" w:line="240"/>
              <w:jc w:val="left"/>
            </w:pPr>
            <w:r>
              <w:rPr>
                <w:i/>
                <w:iCs/>
                <w:sz w:val="20"/>
                <w:szCs w:val="20"/>
              </w:rPr>
              <w:t xml:space="preserve">R</w:t>
            </w:r>
            <w:r>
              <w:rPr>
                <w:i/>
                <w:iCs/>
                <w:sz w:val="20"/>
                <w:szCs w:val="20"/>
                <w:vertAlign w:val="subscript"/>
              </w:rPr>
              <w:t xml:space="preserve">e</w:t>
            </w:r>
            <w:r>
              <w:rPr>
                <w:i/>
                <w:iCs/>
                <w:sz w:val="20"/>
                <w:szCs w:val="20"/>
              </w:rPr>
              <w:t xml:space="preserve"> = (1/n) Σ R</w:t>
            </w:r>
            <w:r>
              <w:rPr>
                <w:i/>
                <w:iCs/>
                <w:sz w:val="20"/>
                <w:szCs w:val="20"/>
                <w:vertAlign w:val="subscript"/>
              </w:rPr>
              <w:t xml:space="preserve">i</w:t>
            </w:r>
          </w:p>
        </w:tc>
        <w:tc>
          <w:tcPr>
            <w:tcW w:type="dxa" w:w="3760"/>
            <w:tcMar>
              <w:top w:type="dxa" w:w="60"/>
              <w:left w:type="dxa" w:w="110"/>
              <w:bottom w:type="dxa" w:w="60"/>
              <w:right w:type="dxa" w:w="110"/>
            </w:tcMar>
          </w:tcPr>
          <w:p>
            <w:pPr>
              <w:spacing w:after="0" w:line="240"/>
              <w:jc w:val="left"/>
            </w:pPr>
            <w:r>
              <w:rPr>
                <w:b w:val="false"/>
                <w:bCs w:val="false"/>
                <w:sz w:val="20"/>
                <w:szCs w:val="20"/>
              </w:rPr>
              <w:t xml:space="preserve">Promedio de la ramificación sobre los intentos.</w:t>
            </w:r>
          </w:p>
        </w:tc>
      </w:tr>
    </w:tbl>
    <w:p>
      <w:pPr>
        <w:spacing w:after="220" w:before="90"/>
        <w:jc w:val="left"/>
      </w:pPr>
      <w:r>
        <w:rPr>
          <w:sz w:val="19"/>
          <w:szCs w:val="19"/>
        </w:rPr>
        <w:t xml:space="preserve">Tabla 1. Ecuaciones heredadas del trabajo de grado fuente, tal como las recoge el documento de tesis.</w:t>
      </w:r>
    </w:p>
    <w:p>
      <w:pPr>
        <w:spacing w:after="140" w:before="0" w:line="276"/>
        <w:jc w:val="both"/>
      </w:pPr>
      <w:r>
        <w:t xml:space="preserve">Conviene advertir desde ahora una ambigüedad de notación: la letra </w:t>
      </w:r>
      <w:r>
        <w:rPr>
          <w:i/>
          <w:iCs/>
        </w:rPr>
        <w:t xml:space="preserve">n</w:t>
      </w:r>
      <w:r>
        <w:t xml:space="preserve"> designa dos magnitudes distintas. En la ruta óptima es el número de fichas </w:t>
      </w:r>
      <w:r>
        <w:rPr>
          <w:i/>
          <w:iCs/>
        </w:rPr>
        <w:t xml:space="preserve">por equipo</w:t>
      </w:r>
      <w:r>
        <w:t xml:space="preserve">; en la buclicidad es el número de fichas </w:t>
      </w:r>
      <w:r>
        <w:rPr>
          <w:i/>
          <w:iCs/>
        </w:rPr>
        <w:t xml:space="preserve">involucradas en el bucle</w:t>
      </w:r>
      <w:r>
        <w:t xml:space="preserve">. Ambos usos provienen del trabajo fuente.</w:t>
      </w:r>
    </w:p>
    <w:p>
      <w:pPr>
        <w:pStyle w:val="Heading2"/>
        <w:spacing w:after="110" w:before="240"/>
        <w:jc w:val="left"/>
      </w:pPr>
      <w:r>
        <w:rPr>
          <w:b/>
          <w:bCs/>
          <w:i/>
          <w:iCs/>
          <w:sz w:val="23"/>
          <w:szCs w:val="23"/>
        </w:rPr>
        <w:t xml:space="preserve">2.3. Cómo las recoge la tesis</w:t>
      </w:r>
    </w:p>
    <w:p>
      <w:pPr>
        <w:spacing w:after="140" w:before="0" w:line="276"/>
        <w:jc w:val="both"/>
      </w:pPr>
      <w:r>
        <w:t xml:space="preserve">El documento de tesis dedica a estas ecuaciones una sección titulada "Fundamento matemático de las métricas de análisis", donde reproduce las seis expresiones, las interpreta en clave de control inhibitorio y las resume en una tabla. La interpretación que allí se propone es la siguiente: la diferencia entre la trayectoria real y la ruta óptima constituye una medida conductual del control inhibitorio, de modo que "a mayor exceso de movimientos, mayor evidencia de dificultad para suprimir la respuesta impulsiva y sostener una estrategia deliberada".</w:t>
      </w:r>
    </w:p>
    <w:p>
      <w:pPr>
        <w:pStyle w:val="Heading1"/>
        <w:spacing w:after="160" w:before="360"/>
        <w:jc w:val="left"/>
      </w:pPr>
      <w:r>
        <w:rPr>
          <w:b/>
          <w:bCs/>
          <w:sz w:val="26"/>
          <w:szCs w:val="26"/>
        </w:rPr>
        <w:t xml:space="preserve">3. El espacio del problema como grafo: datos verificados</w:t>
      </w:r>
    </w:p>
    <w:p>
      <w:pPr>
        <w:pStyle w:val="Heading2"/>
        <w:spacing w:after="110" w:before="240"/>
        <w:jc w:val="left"/>
      </w:pPr>
      <w:r>
        <w:rPr>
          <w:b/>
          <w:bCs/>
          <w:i/>
          <w:iCs/>
          <w:sz w:val="23"/>
          <w:szCs w:val="23"/>
        </w:rPr>
        <w:t xml:space="preserve">3.1. Las reglas del juego</w:t>
      </w:r>
    </w:p>
    <w:p>
      <w:pPr>
        <w:spacing w:after="140" w:before="0" w:line="276"/>
        <w:jc w:val="both"/>
      </w:pPr>
      <w:r>
        <w:t xml:space="preserve">El tablero es una fila de 2n+1 posiciones: n fichas de un color a la izquierda, n del otro a la derecha y una casilla vacía al centro. El objetivo es intercambiar por completo ambos grupos. Las reglas, tal como se enuncian en la interfaz original del juego, son tres:</w:t>
      </w:r>
    </w:p>
    <w:p>
      <w:pPr>
        <w:pStyle w:val="ListParagraph"/>
        <w:numPr>
          <w:ilvl w:val="0"/>
          <w:numId w:val="1"/>
        </w:numPr>
        <w:spacing w:after="90" w:line="276"/>
        <w:jc w:val="both"/>
      </w:pPr>
      <w:r>
        <w:t xml:space="preserve">Regla 1. Al hacer clic sobre una ficha, esta se desplaza al espacio vacío, si las siguientes reglas lo permiten.</w:t>
      </w:r>
    </w:p>
    <w:p>
      <w:pPr>
        <w:pStyle w:val="ListParagraph"/>
        <w:numPr>
          <w:ilvl w:val="0"/>
          <w:numId w:val="1"/>
        </w:numPr>
        <w:spacing w:after="90" w:line="276"/>
        <w:jc w:val="both"/>
      </w:pPr>
      <w:r>
        <w:t xml:space="preserve">Regla 2. No puedes volver a la posición inmediatamente anterior.</w:t>
      </w:r>
    </w:p>
    <w:p>
      <w:pPr>
        <w:pStyle w:val="ListParagraph"/>
        <w:numPr>
          <w:ilvl w:val="0"/>
          <w:numId w:val="1"/>
        </w:numPr>
        <w:spacing w:after="90" w:line="276"/>
        <w:jc w:val="both"/>
      </w:pPr>
      <w:r>
        <w:t xml:space="preserve">Regla 3. Solo puedes saltar una pieza de color contrario.</w:t>
      </w:r>
    </w:p>
    <w:p>
      <w:pPr>
        <w:spacing w:after="140" w:before="0" w:line="276"/>
        <w:jc w:val="both"/>
      </w:pPr>
      <w:r>
        <w:t xml:space="preserve">Ninguno de los dos grupos tiene dirección fija: una ficha puede desplazarse hacia la izquierda o hacia la derecha, y se puede regresar a una posición anterior por un camino distinto, lo que da lugar a los bucles. El trabajo fuente lo expresa con precisión: "La Escalera tiene un grafo no dirigido. Es decir, permite retornar a estados anteriores".</w:t>
      </w:r>
    </w:p>
    <w:p>
      <w:pPr>
        <w:pStyle w:val="Heading2"/>
        <w:spacing w:after="110" w:before="240"/>
        <w:jc w:val="left"/>
      </w:pPr>
      <w:r>
        <w:rPr>
          <w:b/>
          <w:bCs/>
          <w:i/>
          <w:iCs/>
          <w:sz w:val="23"/>
          <w:szCs w:val="23"/>
        </w:rPr>
        <w:t xml:space="preserve">3.2. Propiedades del grafo de estados</w:t>
      </w:r>
    </w:p>
    <w:p>
      <w:pPr>
        <w:spacing w:after="140" w:before="0" w:line="276"/>
        <w:jc w:val="both"/>
      </w:pPr>
      <w:r>
        <w:t xml:space="preserve">Cada configuración posible del tablero es un vértice y cada movimiento legal una arista; las nociones de teoría de grafos que se emplean en adelante son las estándar (Johnsonbaugh, 2005, ya citado en la tesis). La Tabla 2 recoge las propiedades de ese grafo, calculadas de manera exhaustiva para los cinco tamaños de ejercicio previstos en el protocolo.</w:t>
      </w:r>
    </w:p>
    <w:tbl>
      <w:tblPr>
        <w:tblW w:type="dxa" w:w="9360"/>
        <w:tblBorders>
          <w:top w:val="single" w:color="000000" w:sz="6"/>
          <w:left w:val="none"/>
          <w:bottom w:val="single" w:color="000000" w:sz="6"/>
          <w:right w:val="none"/>
          <w:insideH w:val="single" w:color="AAAAAA" w:sz="2"/>
          <w:insideV w:val="none"/>
        </w:tblBorders>
      </w:tblPr>
      <w:tblGrid>
        <w:gridCol w:w="1180"/>
        <w:gridCol w:w="1360"/>
        <w:gridCol w:w="1360"/>
        <w:gridCol w:w="1800"/>
        <w:gridCol w:w="1860"/>
        <w:gridCol w:w="1800"/>
      </w:tblGrid>
      <w:tr>
        <w:trPr>
          <w:tblHeader/>
        </w:trPr>
        <w:tc>
          <w:tcPr>
            <w:tcW w:type="dxa" w:w="1180"/>
            <w:shd w:fill="EFEFEF" w:color="auto" w:val="clear"/>
            <w:tcMar>
              <w:top w:type="dxa" w:w="60"/>
              <w:left w:type="dxa" w:w="110"/>
              <w:bottom w:type="dxa" w:w="60"/>
              <w:right w:type="dxa" w:w="110"/>
            </w:tcMar>
          </w:tcPr>
          <w:p>
            <w:pPr>
              <w:spacing w:after="0" w:line="240"/>
              <w:jc w:val="left"/>
            </w:pPr>
            <w:r>
              <w:rPr>
                <w:b/>
                <w:bCs/>
                <w:sz w:val="20"/>
                <w:szCs w:val="20"/>
              </w:rPr>
              <w:t xml:space="preserve">Pares</w:t>
            </w:r>
          </w:p>
        </w:tc>
        <w:tc>
          <w:tcPr>
            <w:tcW w:type="dxa" w:w="1360"/>
            <w:shd w:fill="EFEFEF" w:color="auto" w:val="clear"/>
            <w:tcMar>
              <w:top w:type="dxa" w:w="60"/>
              <w:left w:type="dxa" w:w="110"/>
              <w:bottom w:type="dxa" w:w="60"/>
              <w:right w:type="dxa" w:w="110"/>
            </w:tcMar>
          </w:tcPr>
          <w:p>
            <w:pPr>
              <w:spacing w:after="0" w:line="240"/>
              <w:jc w:val="left"/>
            </w:pPr>
            <w:r>
              <w:rPr>
                <w:b/>
                <w:bCs/>
                <w:sz w:val="20"/>
                <w:szCs w:val="20"/>
              </w:rPr>
              <w:t xml:space="preserve">Vértices</w:t>
            </w:r>
          </w:p>
        </w:tc>
        <w:tc>
          <w:tcPr>
            <w:tcW w:type="dxa" w:w="1360"/>
            <w:shd w:fill="EFEFEF" w:color="auto" w:val="clear"/>
            <w:tcMar>
              <w:top w:type="dxa" w:w="60"/>
              <w:left w:type="dxa" w:w="110"/>
              <w:bottom w:type="dxa" w:w="60"/>
              <w:right w:type="dxa" w:w="110"/>
            </w:tcMar>
          </w:tcPr>
          <w:p>
            <w:pPr>
              <w:spacing w:after="0" w:line="240"/>
              <w:jc w:val="left"/>
            </w:pPr>
            <w:r>
              <w:rPr>
                <w:b/>
                <w:bCs/>
                <w:sz w:val="20"/>
                <w:szCs w:val="20"/>
              </w:rPr>
              <w:t xml:space="preserve">Aristas</w:t>
            </w:r>
          </w:p>
        </w:tc>
        <w:tc>
          <w:tcPr>
            <w:tcW w:type="dxa" w:w="1800"/>
            <w:shd w:fill="EFEFEF" w:color="auto" w:val="clear"/>
            <w:tcMar>
              <w:top w:type="dxa" w:w="60"/>
              <w:left w:type="dxa" w:w="110"/>
              <w:bottom w:type="dxa" w:w="60"/>
              <w:right w:type="dxa" w:w="110"/>
            </w:tcMar>
          </w:tcPr>
          <w:p>
            <w:pPr>
              <w:spacing w:after="0" w:line="240"/>
              <w:jc w:val="left"/>
            </w:pPr>
            <w:r>
              <w:rPr>
                <w:b/>
                <w:bCs/>
                <w:sz w:val="20"/>
                <w:szCs w:val="20"/>
              </w:rPr>
              <w:t xml:space="preserve">Número ciclomático</w:t>
            </w:r>
          </w:p>
        </w:tc>
        <w:tc>
          <w:tcPr>
            <w:tcW w:type="dxa" w:w="1860"/>
            <w:shd w:fill="EFEFEF" w:color="auto" w:val="clear"/>
            <w:tcMar>
              <w:top w:type="dxa" w:w="60"/>
              <w:left w:type="dxa" w:w="110"/>
              <w:bottom w:type="dxa" w:w="60"/>
              <w:right w:type="dxa" w:w="110"/>
            </w:tcMar>
          </w:tcPr>
          <w:p>
            <w:pPr>
              <w:spacing w:after="0" w:line="240"/>
              <w:jc w:val="left"/>
            </w:pPr>
            <w:r>
              <w:rPr>
                <w:b/>
                <w:bCs/>
                <w:sz w:val="20"/>
                <w:szCs w:val="20"/>
              </w:rPr>
              <w:t xml:space="preserve">Ciclo más corto</w:t>
            </w:r>
          </w:p>
        </w:tc>
        <w:tc>
          <w:tcPr>
            <w:tcW w:type="dxa" w:w="1800"/>
            <w:shd w:fill="EFEFEF" w:color="auto" w:val="clear"/>
            <w:tcMar>
              <w:top w:type="dxa" w:w="60"/>
              <w:left w:type="dxa" w:w="110"/>
              <w:bottom w:type="dxa" w:w="60"/>
              <w:right w:type="dxa" w:w="110"/>
            </w:tcMar>
          </w:tcPr>
          <w:p>
            <w:pPr>
              <w:spacing w:after="0" w:line="240"/>
              <w:jc w:val="left"/>
            </w:pPr>
            <w:r>
              <w:rPr>
                <w:b/>
                <w:bCs/>
                <w:sz w:val="20"/>
                <w:szCs w:val="20"/>
              </w:rPr>
              <w:t xml:space="preserve">Grados 1 / 2 / 3 / 4</w:t>
            </w:r>
          </w:p>
        </w:tc>
      </w:tr>
      <w:tr>
        <w:tc>
          <w:tcPr>
            <w:tcW w:type="dxa" w:w="1180"/>
            <w:tcMar>
              <w:top w:type="dxa" w:w="60"/>
              <w:left w:type="dxa" w:w="110"/>
              <w:bottom w:type="dxa" w:w="60"/>
              <w:right w:type="dxa" w:w="110"/>
            </w:tcMar>
          </w:tcPr>
          <w:p>
            <w:pPr>
              <w:spacing w:after="0" w:line="240"/>
              <w:jc w:val="left"/>
            </w:pPr>
            <w:r>
              <w:rPr>
                <w:b w:val="false"/>
                <w:bCs w:val="false"/>
                <w:sz w:val="20"/>
                <w:szCs w:val="20"/>
              </w:rPr>
              <w:t xml:space="preserve">1</w:t>
            </w:r>
          </w:p>
        </w:tc>
        <w:tc>
          <w:tcPr>
            <w:tcW w:type="dxa" w:w="1360"/>
            <w:tcMar>
              <w:top w:type="dxa" w:w="60"/>
              <w:left w:type="dxa" w:w="110"/>
              <w:bottom w:type="dxa" w:w="60"/>
              <w:right w:type="dxa" w:w="110"/>
            </w:tcMar>
          </w:tcPr>
          <w:p>
            <w:pPr>
              <w:spacing w:after="0" w:line="240"/>
              <w:jc w:val="left"/>
            </w:pPr>
            <w:r>
              <w:rPr>
                <w:b w:val="false"/>
                <w:bCs w:val="false"/>
                <w:sz w:val="20"/>
                <w:szCs w:val="20"/>
              </w:rPr>
              <w:t xml:space="preserve">6</w:t>
            </w:r>
          </w:p>
        </w:tc>
        <w:tc>
          <w:tcPr>
            <w:tcW w:type="dxa" w:w="1360"/>
            <w:tcMar>
              <w:top w:type="dxa" w:w="60"/>
              <w:left w:type="dxa" w:w="110"/>
              <w:bottom w:type="dxa" w:w="60"/>
              <w:right w:type="dxa" w:w="110"/>
            </w:tcMar>
          </w:tcPr>
          <w:p>
            <w:pPr>
              <w:spacing w:after="0" w:line="240"/>
              <w:jc w:val="left"/>
            </w:pPr>
            <w:r>
              <w:rPr>
                <w:b w:val="false"/>
                <w:bCs w:val="false"/>
                <w:sz w:val="20"/>
                <w:szCs w:val="20"/>
              </w:rPr>
              <w:t xml:space="preserve">6</w:t>
            </w:r>
          </w:p>
        </w:tc>
        <w:tc>
          <w:tcPr>
            <w:tcW w:type="dxa" w:w="1800"/>
            <w:tcMar>
              <w:top w:type="dxa" w:w="60"/>
              <w:left w:type="dxa" w:w="110"/>
              <w:bottom w:type="dxa" w:w="60"/>
              <w:right w:type="dxa" w:w="110"/>
            </w:tcMar>
          </w:tcPr>
          <w:p>
            <w:pPr>
              <w:spacing w:after="0" w:line="240"/>
              <w:jc w:val="left"/>
            </w:pPr>
            <w:r>
              <w:rPr>
                <w:b w:val="false"/>
                <w:bCs w:val="false"/>
                <w:sz w:val="20"/>
                <w:szCs w:val="20"/>
              </w:rPr>
              <w:t xml:space="preserve">1</w:t>
            </w:r>
          </w:p>
        </w:tc>
        <w:tc>
          <w:tcPr>
            <w:tcW w:type="dxa" w:w="1860"/>
            <w:tcMar>
              <w:top w:type="dxa" w:w="60"/>
              <w:left w:type="dxa" w:w="110"/>
              <w:bottom w:type="dxa" w:w="60"/>
              <w:right w:type="dxa" w:w="110"/>
            </w:tcMar>
          </w:tcPr>
          <w:p>
            <w:pPr>
              <w:spacing w:after="0" w:line="240"/>
              <w:jc w:val="left"/>
            </w:pPr>
            <w:r>
              <w:rPr>
                <w:b w:val="false"/>
                <w:bCs w:val="false"/>
                <w:sz w:val="20"/>
                <w:szCs w:val="20"/>
              </w:rPr>
              <w:t xml:space="preserve">6</w:t>
            </w:r>
          </w:p>
        </w:tc>
        <w:tc>
          <w:tcPr>
            <w:tcW w:type="dxa" w:w="1800"/>
            <w:tcMar>
              <w:top w:type="dxa" w:w="60"/>
              <w:left w:type="dxa" w:w="110"/>
              <w:bottom w:type="dxa" w:w="60"/>
              <w:right w:type="dxa" w:w="110"/>
            </w:tcMar>
          </w:tcPr>
          <w:p>
            <w:pPr>
              <w:spacing w:after="0" w:line="240"/>
              <w:jc w:val="left"/>
            </w:pPr>
            <w:r>
              <w:rPr>
                <w:b w:val="false"/>
                <w:bCs w:val="false"/>
                <w:sz w:val="20"/>
                <w:szCs w:val="20"/>
              </w:rPr>
              <w:t xml:space="preserve">0 / 6 / 0 / 0</w:t>
            </w:r>
          </w:p>
        </w:tc>
      </w:tr>
      <w:tr>
        <w:tc>
          <w:tcPr>
            <w:tcW w:type="dxa" w:w="1180"/>
            <w:tcMar>
              <w:top w:type="dxa" w:w="60"/>
              <w:left w:type="dxa" w:w="110"/>
              <w:bottom w:type="dxa" w:w="60"/>
              <w:right w:type="dxa" w:w="110"/>
            </w:tcMar>
          </w:tcPr>
          <w:p>
            <w:pPr>
              <w:spacing w:after="0" w:line="240"/>
              <w:jc w:val="left"/>
            </w:pPr>
            <w:r>
              <w:rPr>
                <w:b w:val="false"/>
                <w:bCs w:val="false"/>
                <w:sz w:val="20"/>
                <w:szCs w:val="20"/>
              </w:rPr>
              <w:t xml:space="preserve">2</w:t>
            </w:r>
          </w:p>
        </w:tc>
        <w:tc>
          <w:tcPr>
            <w:tcW w:type="dxa" w:w="1360"/>
            <w:tcMar>
              <w:top w:type="dxa" w:w="60"/>
              <w:left w:type="dxa" w:w="110"/>
              <w:bottom w:type="dxa" w:w="60"/>
              <w:right w:type="dxa" w:w="110"/>
            </w:tcMar>
          </w:tcPr>
          <w:p>
            <w:pPr>
              <w:spacing w:after="0" w:line="240"/>
              <w:jc w:val="left"/>
            </w:pPr>
            <w:r>
              <w:rPr>
                <w:b w:val="false"/>
                <w:bCs w:val="false"/>
                <w:sz w:val="20"/>
                <w:szCs w:val="20"/>
              </w:rPr>
              <w:t xml:space="preserve">30</w:t>
            </w:r>
          </w:p>
        </w:tc>
        <w:tc>
          <w:tcPr>
            <w:tcW w:type="dxa" w:w="1360"/>
            <w:tcMar>
              <w:top w:type="dxa" w:w="60"/>
              <w:left w:type="dxa" w:w="110"/>
              <w:bottom w:type="dxa" w:w="60"/>
              <w:right w:type="dxa" w:w="110"/>
            </w:tcMar>
          </w:tcPr>
          <w:p>
            <w:pPr>
              <w:spacing w:after="0" w:line="240"/>
              <w:jc w:val="left"/>
            </w:pPr>
            <w:r>
              <w:rPr>
                <w:b w:val="false"/>
                <w:bCs w:val="false"/>
                <w:sz w:val="20"/>
                <w:szCs w:val="20"/>
              </w:rPr>
              <w:t xml:space="preserve">36</w:t>
            </w:r>
          </w:p>
        </w:tc>
        <w:tc>
          <w:tcPr>
            <w:tcW w:type="dxa" w:w="1800"/>
            <w:tcMar>
              <w:top w:type="dxa" w:w="60"/>
              <w:left w:type="dxa" w:w="110"/>
              <w:bottom w:type="dxa" w:w="60"/>
              <w:right w:type="dxa" w:w="110"/>
            </w:tcMar>
          </w:tcPr>
          <w:p>
            <w:pPr>
              <w:spacing w:after="0" w:line="240"/>
              <w:jc w:val="left"/>
            </w:pPr>
            <w:r>
              <w:rPr>
                <w:b w:val="false"/>
                <w:bCs w:val="false"/>
                <w:sz w:val="20"/>
                <w:szCs w:val="20"/>
              </w:rPr>
              <w:t xml:space="preserve">7</w:t>
            </w:r>
          </w:p>
        </w:tc>
        <w:tc>
          <w:tcPr>
            <w:tcW w:type="dxa" w:w="1860"/>
            <w:tcMar>
              <w:top w:type="dxa" w:w="60"/>
              <w:left w:type="dxa" w:w="110"/>
              <w:bottom w:type="dxa" w:w="60"/>
              <w:right w:type="dxa" w:w="110"/>
            </w:tcMar>
          </w:tcPr>
          <w:p>
            <w:pPr>
              <w:spacing w:after="0" w:line="240"/>
              <w:jc w:val="left"/>
            </w:pPr>
            <w:r>
              <w:rPr>
                <w:b w:val="false"/>
                <w:bCs w:val="false"/>
                <w:sz w:val="20"/>
                <w:szCs w:val="20"/>
              </w:rPr>
              <w:t xml:space="preserve">6</w:t>
            </w:r>
          </w:p>
        </w:tc>
        <w:tc>
          <w:tcPr>
            <w:tcW w:type="dxa" w:w="1800"/>
            <w:tcMar>
              <w:top w:type="dxa" w:w="60"/>
              <w:left w:type="dxa" w:w="110"/>
              <w:bottom w:type="dxa" w:w="60"/>
              <w:right w:type="dxa" w:w="110"/>
            </w:tcMar>
          </w:tcPr>
          <w:p>
            <w:pPr>
              <w:spacing w:after="0" w:line="240"/>
              <w:jc w:val="left"/>
            </w:pPr>
            <w:r>
              <w:rPr>
                <w:b w:val="false"/>
                <w:bCs w:val="false"/>
                <w:sz w:val="20"/>
                <w:szCs w:val="20"/>
              </w:rPr>
              <w:t xml:space="preserve">4 / 14 / 8 / 4</w:t>
            </w:r>
          </w:p>
        </w:tc>
      </w:tr>
      <w:tr>
        <w:tc>
          <w:tcPr>
            <w:tcW w:type="dxa" w:w="1180"/>
            <w:tcMar>
              <w:top w:type="dxa" w:w="60"/>
              <w:left w:type="dxa" w:w="110"/>
              <w:bottom w:type="dxa" w:w="60"/>
              <w:right w:type="dxa" w:w="110"/>
            </w:tcMar>
          </w:tcPr>
          <w:p>
            <w:pPr>
              <w:spacing w:after="0" w:line="240"/>
              <w:jc w:val="left"/>
            </w:pPr>
            <w:r>
              <w:rPr>
                <w:b w:val="false"/>
                <w:bCs w:val="false"/>
                <w:sz w:val="20"/>
                <w:szCs w:val="20"/>
              </w:rPr>
              <w:t xml:space="preserve">3</w:t>
            </w:r>
          </w:p>
        </w:tc>
        <w:tc>
          <w:tcPr>
            <w:tcW w:type="dxa" w:w="1360"/>
            <w:tcMar>
              <w:top w:type="dxa" w:w="60"/>
              <w:left w:type="dxa" w:w="110"/>
              <w:bottom w:type="dxa" w:w="60"/>
              <w:right w:type="dxa" w:w="110"/>
            </w:tcMar>
          </w:tcPr>
          <w:p>
            <w:pPr>
              <w:spacing w:after="0" w:line="240"/>
              <w:jc w:val="left"/>
            </w:pPr>
            <w:r>
              <w:rPr>
                <w:b w:val="false"/>
                <w:bCs w:val="false"/>
                <w:sz w:val="20"/>
                <w:szCs w:val="20"/>
              </w:rPr>
              <w:t xml:space="preserve">140</w:t>
            </w:r>
          </w:p>
        </w:tc>
        <w:tc>
          <w:tcPr>
            <w:tcW w:type="dxa" w:w="1360"/>
            <w:tcMar>
              <w:top w:type="dxa" w:w="60"/>
              <w:left w:type="dxa" w:w="110"/>
              <w:bottom w:type="dxa" w:w="60"/>
              <w:right w:type="dxa" w:w="110"/>
            </w:tcMar>
          </w:tcPr>
          <w:p>
            <w:pPr>
              <w:spacing w:after="0" w:line="240"/>
              <w:jc w:val="left"/>
            </w:pPr>
            <w:r>
              <w:rPr>
                <w:b w:val="false"/>
                <w:bCs w:val="false"/>
                <w:sz w:val="20"/>
                <w:szCs w:val="20"/>
              </w:rPr>
              <w:t xml:space="preserve">180</w:t>
            </w:r>
          </w:p>
        </w:tc>
        <w:tc>
          <w:tcPr>
            <w:tcW w:type="dxa" w:w="1800"/>
            <w:tcMar>
              <w:top w:type="dxa" w:w="60"/>
              <w:left w:type="dxa" w:w="110"/>
              <w:bottom w:type="dxa" w:w="60"/>
              <w:right w:type="dxa" w:w="110"/>
            </w:tcMar>
          </w:tcPr>
          <w:p>
            <w:pPr>
              <w:spacing w:after="0" w:line="240"/>
              <w:jc w:val="left"/>
            </w:pPr>
            <w:r>
              <w:rPr>
                <w:b w:val="false"/>
                <w:bCs w:val="false"/>
                <w:sz w:val="20"/>
                <w:szCs w:val="20"/>
              </w:rPr>
              <w:t xml:space="preserve">41</w:t>
            </w:r>
          </w:p>
        </w:tc>
        <w:tc>
          <w:tcPr>
            <w:tcW w:type="dxa" w:w="1860"/>
            <w:tcMar>
              <w:top w:type="dxa" w:w="60"/>
              <w:left w:type="dxa" w:w="110"/>
              <w:bottom w:type="dxa" w:w="60"/>
              <w:right w:type="dxa" w:w="110"/>
            </w:tcMar>
          </w:tcPr>
          <w:p>
            <w:pPr>
              <w:spacing w:after="0" w:line="240"/>
              <w:jc w:val="left"/>
            </w:pPr>
            <w:r>
              <w:rPr>
                <w:b w:val="false"/>
                <w:bCs w:val="false"/>
                <w:sz w:val="20"/>
                <w:szCs w:val="20"/>
              </w:rPr>
              <w:t xml:space="preserve">6</w:t>
            </w:r>
          </w:p>
        </w:tc>
        <w:tc>
          <w:tcPr>
            <w:tcW w:type="dxa" w:w="1800"/>
            <w:tcMar>
              <w:top w:type="dxa" w:w="60"/>
              <w:left w:type="dxa" w:w="110"/>
              <w:bottom w:type="dxa" w:w="60"/>
              <w:right w:type="dxa" w:w="110"/>
            </w:tcMar>
          </w:tcPr>
          <w:p>
            <w:pPr>
              <w:spacing w:after="0" w:line="240"/>
              <w:jc w:val="left"/>
            </w:pPr>
            <w:r>
              <w:rPr>
                <w:b w:val="false"/>
                <w:bCs w:val="false"/>
                <w:sz w:val="20"/>
                <w:szCs w:val="20"/>
              </w:rPr>
              <w:t xml:space="preserve">16 / 52 / 48 / 24</w:t>
            </w:r>
          </w:p>
        </w:tc>
      </w:tr>
      <w:tr>
        <w:tc>
          <w:tcPr>
            <w:tcW w:type="dxa" w:w="1180"/>
            <w:tcMar>
              <w:top w:type="dxa" w:w="60"/>
              <w:left w:type="dxa" w:w="110"/>
              <w:bottom w:type="dxa" w:w="60"/>
              <w:right w:type="dxa" w:w="110"/>
            </w:tcMar>
          </w:tcPr>
          <w:p>
            <w:pPr>
              <w:spacing w:after="0" w:line="240"/>
              <w:jc w:val="left"/>
            </w:pPr>
            <w:r>
              <w:rPr>
                <w:b w:val="false"/>
                <w:bCs w:val="false"/>
                <w:sz w:val="20"/>
                <w:szCs w:val="20"/>
              </w:rPr>
              <w:t xml:space="preserve">4</w:t>
            </w:r>
          </w:p>
        </w:tc>
        <w:tc>
          <w:tcPr>
            <w:tcW w:type="dxa" w:w="1360"/>
            <w:tcMar>
              <w:top w:type="dxa" w:w="60"/>
              <w:left w:type="dxa" w:w="110"/>
              <w:bottom w:type="dxa" w:w="60"/>
              <w:right w:type="dxa" w:w="110"/>
            </w:tcMar>
          </w:tcPr>
          <w:p>
            <w:pPr>
              <w:spacing w:after="0" w:line="240"/>
              <w:jc w:val="left"/>
            </w:pPr>
            <w:r>
              <w:rPr>
                <w:b w:val="false"/>
                <w:bCs w:val="false"/>
                <w:sz w:val="20"/>
                <w:szCs w:val="20"/>
              </w:rPr>
              <w:t xml:space="preserve">630</w:t>
            </w:r>
          </w:p>
        </w:tc>
        <w:tc>
          <w:tcPr>
            <w:tcW w:type="dxa" w:w="1360"/>
            <w:tcMar>
              <w:top w:type="dxa" w:w="60"/>
              <w:left w:type="dxa" w:w="110"/>
              <w:bottom w:type="dxa" w:w="60"/>
              <w:right w:type="dxa" w:w="110"/>
            </w:tcMar>
          </w:tcPr>
          <w:p>
            <w:pPr>
              <w:spacing w:after="0" w:line="240"/>
              <w:jc w:val="left"/>
            </w:pPr>
            <w:r>
              <w:rPr>
                <w:b w:val="false"/>
                <w:bCs w:val="false"/>
                <w:sz w:val="20"/>
                <w:szCs w:val="20"/>
              </w:rPr>
              <w:t xml:space="preserve">840</w:t>
            </w:r>
          </w:p>
        </w:tc>
        <w:tc>
          <w:tcPr>
            <w:tcW w:type="dxa" w:w="1800"/>
            <w:tcMar>
              <w:top w:type="dxa" w:w="60"/>
              <w:left w:type="dxa" w:w="110"/>
              <w:bottom w:type="dxa" w:w="60"/>
              <w:right w:type="dxa" w:w="110"/>
            </w:tcMar>
          </w:tcPr>
          <w:p>
            <w:pPr>
              <w:spacing w:after="0" w:line="240"/>
              <w:jc w:val="left"/>
            </w:pPr>
            <w:r>
              <w:rPr>
                <w:b w:val="false"/>
                <w:bCs w:val="false"/>
                <w:sz w:val="20"/>
                <w:szCs w:val="20"/>
              </w:rPr>
              <w:t xml:space="preserve">211</w:t>
            </w:r>
          </w:p>
        </w:tc>
        <w:tc>
          <w:tcPr>
            <w:tcW w:type="dxa" w:w="1860"/>
            <w:tcMar>
              <w:top w:type="dxa" w:w="60"/>
              <w:left w:type="dxa" w:w="110"/>
              <w:bottom w:type="dxa" w:w="60"/>
              <w:right w:type="dxa" w:w="110"/>
            </w:tcMar>
          </w:tcPr>
          <w:p>
            <w:pPr>
              <w:spacing w:after="0" w:line="240"/>
              <w:jc w:val="left"/>
            </w:pPr>
            <w:r>
              <w:rPr>
                <w:b w:val="false"/>
                <w:bCs w:val="false"/>
                <w:sz w:val="20"/>
                <w:szCs w:val="20"/>
              </w:rPr>
              <w:t xml:space="preserve">6</w:t>
            </w:r>
          </w:p>
        </w:tc>
        <w:tc>
          <w:tcPr>
            <w:tcW w:type="dxa" w:w="1800"/>
            <w:tcMar>
              <w:top w:type="dxa" w:w="60"/>
              <w:left w:type="dxa" w:w="110"/>
              <w:bottom w:type="dxa" w:w="60"/>
              <w:right w:type="dxa" w:w="110"/>
            </w:tcMar>
          </w:tcPr>
          <w:p>
            <w:pPr>
              <w:spacing w:after="0" w:line="240"/>
              <w:jc w:val="left"/>
            </w:pPr>
            <w:r>
              <w:rPr>
                <w:b w:val="false"/>
                <w:bCs w:val="false"/>
                <w:sz w:val="20"/>
                <w:szCs w:val="20"/>
              </w:rPr>
              <w:t xml:space="preserve">60 / 210 / 240 / 120</w:t>
            </w:r>
          </w:p>
        </w:tc>
      </w:tr>
      <w:tr>
        <w:tc>
          <w:tcPr>
            <w:tcW w:type="dxa" w:w="1180"/>
            <w:tcMar>
              <w:top w:type="dxa" w:w="60"/>
              <w:left w:type="dxa" w:w="110"/>
              <w:bottom w:type="dxa" w:w="60"/>
              <w:right w:type="dxa" w:w="110"/>
            </w:tcMar>
          </w:tcPr>
          <w:p>
            <w:pPr>
              <w:spacing w:after="0" w:line="240"/>
              <w:jc w:val="left"/>
            </w:pPr>
            <w:r>
              <w:rPr>
                <w:b w:val="false"/>
                <w:bCs w:val="false"/>
                <w:sz w:val="20"/>
                <w:szCs w:val="20"/>
              </w:rPr>
              <w:t xml:space="preserve">5</w:t>
            </w:r>
          </w:p>
        </w:tc>
        <w:tc>
          <w:tcPr>
            <w:tcW w:type="dxa" w:w="1360"/>
            <w:tcMar>
              <w:top w:type="dxa" w:w="60"/>
              <w:left w:type="dxa" w:w="110"/>
              <w:bottom w:type="dxa" w:w="60"/>
              <w:right w:type="dxa" w:w="110"/>
            </w:tcMar>
          </w:tcPr>
          <w:p>
            <w:pPr>
              <w:spacing w:after="0" w:line="240"/>
              <w:jc w:val="left"/>
            </w:pPr>
            <w:r>
              <w:rPr>
                <w:b w:val="false"/>
                <w:bCs w:val="false"/>
                <w:sz w:val="20"/>
                <w:szCs w:val="20"/>
              </w:rPr>
              <w:t xml:space="preserve">2772</w:t>
            </w:r>
          </w:p>
        </w:tc>
        <w:tc>
          <w:tcPr>
            <w:tcW w:type="dxa" w:w="1360"/>
            <w:tcMar>
              <w:top w:type="dxa" w:w="60"/>
              <w:left w:type="dxa" w:w="110"/>
              <w:bottom w:type="dxa" w:w="60"/>
              <w:right w:type="dxa" w:w="110"/>
            </w:tcMar>
          </w:tcPr>
          <w:p>
            <w:pPr>
              <w:spacing w:after="0" w:line="240"/>
              <w:jc w:val="left"/>
            </w:pPr>
            <w:r>
              <w:rPr>
                <w:b w:val="false"/>
                <w:bCs w:val="false"/>
                <w:sz w:val="20"/>
                <w:szCs w:val="20"/>
              </w:rPr>
              <w:t xml:space="preserve">3780</w:t>
            </w:r>
          </w:p>
        </w:tc>
        <w:tc>
          <w:tcPr>
            <w:tcW w:type="dxa" w:w="1800"/>
            <w:tcMar>
              <w:top w:type="dxa" w:w="60"/>
              <w:left w:type="dxa" w:w="110"/>
              <w:bottom w:type="dxa" w:w="60"/>
              <w:right w:type="dxa" w:w="110"/>
            </w:tcMar>
          </w:tcPr>
          <w:p>
            <w:pPr>
              <w:spacing w:after="0" w:line="240"/>
              <w:jc w:val="left"/>
            </w:pPr>
            <w:r>
              <w:rPr>
                <w:b w:val="false"/>
                <w:bCs w:val="false"/>
                <w:sz w:val="20"/>
                <w:szCs w:val="20"/>
              </w:rPr>
              <w:t xml:space="preserve">1009</w:t>
            </w:r>
          </w:p>
        </w:tc>
        <w:tc>
          <w:tcPr>
            <w:tcW w:type="dxa" w:w="1860"/>
            <w:tcMar>
              <w:top w:type="dxa" w:w="60"/>
              <w:left w:type="dxa" w:w="110"/>
              <w:bottom w:type="dxa" w:w="60"/>
              <w:right w:type="dxa" w:w="110"/>
            </w:tcMar>
          </w:tcPr>
          <w:p>
            <w:pPr>
              <w:spacing w:after="0" w:line="240"/>
              <w:jc w:val="left"/>
            </w:pPr>
            <w:r>
              <w:rPr>
                <w:b w:val="false"/>
                <w:bCs w:val="false"/>
                <w:sz w:val="20"/>
                <w:szCs w:val="20"/>
              </w:rPr>
              <w:t xml:space="preserve">6</w:t>
            </w:r>
          </w:p>
        </w:tc>
        <w:tc>
          <w:tcPr>
            <w:tcW w:type="dxa" w:w="1800"/>
            <w:tcMar>
              <w:top w:type="dxa" w:w="60"/>
              <w:left w:type="dxa" w:w="110"/>
              <w:bottom w:type="dxa" w:w="60"/>
              <w:right w:type="dxa" w:w="110"/>
            </w:tcMar>
          </w:tcPr>
          <w:p>
            <w:pPr>
              <w:spacing w:after="0" w:line="240"/>
              <w:jc w:val="left"/>
            </w:pPr>
            <w:r>
              <w:rPr>
                <w:b w:val="false"/>
                <w:bCs w:val="false"/>
                <w:sz w:val="20"/>
                <w:szCs w:val="20"/>
              </w:rPr>
              <w:t xml:space="preserve">224 / 868 / 1120 / 560</w:t>
            </w:r>
          </w:p>
        </w:tc>
      </w:tr>
    </w:tbl>
    <w:p>
      <w:pPr>
        <w:spacing w:after="220" w:before="90"/>
        <w:jc w:val="left"/>
      </w:pPr>
      <w:r>
        <w:rPr>
          <w:sz w:val="19"/>
          <w:szCs w:val="19"/>
        </w:rPr>
        <w:t xml:space="preserve">Tabla 2. Propiedades del grafo de estados del juego, calculadas de forma exhaustiva. El número ciclomático es μ = |E| − |V| + 1.</w:t>
      </w:r>
    </w:p>
    <w:p>
      <w:pPr>
        <w:pStyle w:val="Heading2"/>
        <w:spacing w:after="110" w:before="240"/>
        <w:jc w:val="left"/>
      </w:pPr>
      <w:r>
        <w:rPr>
          <w:b/>
          <w:bCs/>
          <w:i/>
          <w:iCs/>
          <w:sz w:val="23"/>
          <w:szCs w:val="23"/>
        </w:rPr>
        <w:t xml:space="preserve">3.3. Correspondencia con los conceptos del trabajo fuente</w:t>
      </w:r>
    </w:p>
    <w:p>
      <w:pPr>
        <w:spacing w:after="140" w:before="0" w:line="276"/>
        <w:jc w:val="both"/>
      </w:pPr>
      <w:r>
        <w:t xml:space="preserve">Tres de estos resultados traducen a lenguaje formal nociones que el trabajo fuente ya había descrito en prosa, lo que confirma la solidez de aquel análisis:</w:t>
      </w:r>
    </w:p>
    <w:p>
      <w:pPr>
        <w:pStyle w:val="ListParagraph"/>
        <w:numPr>
          <w:ilvl w:val="0"/>
          <w:numId w:val="1"/>
        </w:numPr>
        <w:spacing w:after="90" w:line="276"/>
        <w:jc w:val="both"/>
      </w:pPr>
      <w:r>
        <w:t xml:space="preserve">El ciclo más corto mide seis movimientos en los cinco tamaños. Ningún bucle puede ser menor. Esto coincide exactamente con la afirmación del trabajo fuente según la cual el primer bucle de un jugador novato, "entre dos fichas, 1 pieza por color", le toma "6 movimientos retornar a una posición anterior".</w:t>
      </w:r>
    </w:p>
    <w:p>
      <w:pPr>
        <w:pStyle w:val="ListParagraph"/>
        <w:numPr>
          <w:ilvl w:val="0"/>
          <w:numId w:val="1"/>
        </w:numPr>
        <w:spacing w:after="90" w:line="276"/>
        <w:jc w:val="both"/>
      </w:pPr>
      <w:r>
        <w:t xml:space="preserve">Los "caminos sin retorno" corresponden a los vértices de grado 1: al llegar a uno de ellos, la única arista disponible es la de regreso, que la Regla 2 prohíbe. Son 224 en el tablero de cinco pares.</w:t>
      </w:r>
    </w:p>
    <w:p>
      <w:pPr>
        <w:pStyle w:val="ListParagraph"/>
        <w:numPr>
          <w:ilvl w:val="0"/>
          <w:numId w:val="1"/>
        </w:numPr>
        <w:spacing w:after="90" w:line="276"/>
        <w:jc w:val="both"/>
      </w:pPr>
      <w:r>
        <w:t xml:space="preserve">Los "puntos críticos" corresponden a los vértices de grado 3 y 4, que son precisamente aquellos en los que el jugador enfrenta una decisión real. Con cinco pares hay 1120 y 560 respectivamente.</w:t>
      </w:r>
    </w:p>
    <w:p>
      <w:pPr>
        <w:pStyle w:val="Heading1"/>
        <w:spacing w:after="160" w:before="360"/>
        <w:jc w:val="left"/>
      </w:pPr>
      <w:r>
        <w:rPr>
          <w:b/>
          <w:bCs/>
          <w:sz w:val="26"/>
          <w:szCs w:val="26"/>
        </w:rPr>
        <w:t xml:space="preserve">4. Diagnóstico 1: la calidad del movimiento resulta idénticamente nula</w:t>
      </w:r>
    </w:p>
    <w:p>
      <w:pPr>
        <w:spacing w:after="140" w:before="0" w:line="276"/>
        <w:jc w:val="both"/>
      </w:pPr>
      <w:r>
        <w:t xml:space="preserve">La ecuación de calidad del movimiento es la siguiente:</w:t>
      </w:r>
    </w:p>
    <w:p>
      <w:pPr>
        <w:spacing w:after="170" w:before="170"/>
        <w:jc w:val="center"/>
      </w:pPr>
      <w:r>
        <w:rPr>
          <w:i/>
          <w:iCs/>
        </w:rPr>
        <w:t xml:space="preserve">C</w:t>
      </w:r>
      <w:r>
        <w:rPr>
          <w:vertAlign w:val="subscript"/>
        </w:rPr>
        <w:t xml:space="preserve">m</w:t>
      </w:r>
      <w:r>
        <w:rPr>
          <w:i/>
          <w:iCs/>
        </w:rPr>
        <w:t xml:space="preserve">  =  | 1 − </w:t>
      </w:r>
      <w:r>
        <w:rPr>
          <w:i/>
          <w:iCs/>
        </w:rPr>
        <w:t xml:space="preserve">D</w:t>
      </w:r>
      <w:r>
        <w:rPr>
          <w:vertAlign w:val="subscript"/>
        </w:rPr>
        <w:t xml:space="preserve">j</w:t>
      </w:r>
      <w:r>
        <w:rPr>
          <w:i/>
          <w:iCs/>
        </w:rPr>
        <w:t xml:space="preserve"> / </w:t>
      </w:r>
      <w:r>
        <w:rPr>
          <w:i/>
          <w:iCs/>
        </w:rPr>
        <w:t xml:space="preserve">D</w:t>
      </w:r>
      <w:r>
        <w:rPr>
          <w:vertAlign w:val="subscript"/>
        </w:rPr>
        <w:t xml:space="preserve">mín</w:t>
      </w:r>
      <w:r>
        <w:rPr>
          <w:i/>
          <w:iCs/>
        </w:rPr>
        <w:t xml:space="preserve"> |</w:t>
      </w:r>
    </w:p>
    <w:p>
      <w:pPr>
        <w:spacing w:after="140" w:before="0" w:line="276"/>
        <w:jc w:val="both"/>
      </w:pPr>
      <w:r>
        <w:t xml:space="preserve">El trabajo fuente la acompaña de esta definición, escueta:</w:t>
      </w:r>
    </w:p>
    <w:p>
      <w:pPr>
        <w:spacing w:after="40" w:before="120" w:line="240"/>
        <w:ind w:left="720" w:right="480"/>
        <w:jc w:val="both"/>
      </w:pPr>
      <w:r>
        <w:rPr>
          <w:i/>
          <w:iCs/>
          <w:sz w:val="21"/>
          <w:szCs w:val="21"/>
        </w:rPr>
        <w:t xml:space="preserve">"Donde Dj indica la distancia del movimiento del jugador hasta la meta y Dmin indica la distancia más corta a la meta."</w:t>
      </w:r>
    </w:p>
    <w:p>
      <w:pPr>
        <w:spacing w:after="170"/>
        <w:ind w:right="480"/>
        <w:jc w:val="right"/>
      </w:pPr>
      <w:r>
        <w:rPr>
          <w:sz w:val="19"/>
          <w:szCs w:val="19"/>
        </w:rPr>
        <w:t xml:space="preserve">Liévano Chaparro y Molina Monguí (2022, p. 45)</w:t>
      </w:r>
    </w:p>
    <w:p>
      <w:pPr>
        <w:spacing w:after="140" w:before="0" w:line="276"/>
        <w:jc w:val="both"/>
      </w:pPr>
      <w:r>
        <w:t xml:space="preserve">El documento de tesis desarrolla esa definición en dos pasajes. El primero, al presentar el algoritmo de Dijkstra:</w:t>
      </w:r>
    </w:p>
    <w:p>
      <w:pPr>
        <w:spacing w:after="40" w:before="120" w:line="240"/>
        <w:ind w:left="720" w:right="480"/>
        <w:jc w:val="both"/>
      </w:pPr>
      <w:r>
        <w:rPr>
          <w:i/>
          <w:iCs/>
          <w:sz w:val="21"/>
          <w:szCs w:val="21"/>
        </w:rPr>
        <w:t xml:space="preserve">"La métrica de ramificación Cm = |1 − Dj/Dmín|, donde Dj es la distancia al nodo meta desde el estado alcanzado tras el movimiento j y Dmín es la distancia mínima posible en ese punto, cuantifica precisamente esa desviación para cada movimiento individual."</w:t>
      </w:r>
    </w:p>
    <w:p>
      <w:pPr>
        <w:spacing w:after="170"/>
        <w:ind w:right="480"/>
        <w:jc w:val="right"/>
      </w:pPr>
      <w:r>
        <w:rPr>
          <w:sz w:val="19"/>
          <w:szCs w:val="19"/>
        </w:rPr>
        <w:t xml:space="preserve">Documento de tesis, capítulo de fundamentación</w:t>
      </w:r>
    </w:p>
    <w:p>
      <w:pPr>
        <w:spacing w:after="140" w:before="0" w:line="276"/>
        <w:jc w:val="both"/>
      </w:pPr>
      <w:r>
        <w:t xml:space="preserve">El segundo, en la subsección dedicada a la ramificación:</w:t>
      </w:r>
    </w:p>
    <w:p>
      <w:pPr>
        <w:spacing w:after="40" w:before="120" w:line="240"/>
        <w:ind w:left="720" w:right="480"/>
        <w:jc w:val="both"/>
      </w:pPr>
      <w:r>
        <w:rPr>
          <w:i/>
          <w:iCs/>
          <w:sz w:val="21"/>
          <w:szCs w:val="21"/>
        </w:rPr>
        <w:t xml:space="preserve">"donde Dj es la distancia —en número de movimientos válidos restantes— desde el estado actual del jugador hasta el estado meta, y Dmín es la distancia mínima posible desde ese mismo estado hasta la meta (es decir, la longitud del camino óptimo restante desde ese nodo). Cuando el aprendiz elige el movimiento óptimo disponible, Dj = Dmín y Cm = 0."</w:t>
      </w:r>
    </w:p>
    <w:p>
      <w:pPr>
        <w:spacing w:after="170"/>
        <w:ind w:right="480"/>
        <w:jc w:val="right"/>
      </w:pPr>
      <w:r>
        <w:rPr>
          <w:sz w:val="19"/>
          <w:szCs w:val="19"/>
        </w:rPr>
        <w:t xml:space="preserve">Documento de tesis, sección de métricas</w:t>
      </w:r>
    </w:p>
    <w:p>
      <w:pPr>
        <w:pStyle w:val="Heading2"/>
        <w:spacing w:after="110" w:before="240"/>
        <w:jc w:val="left"/>
      </w:pPr>
      <w:r>
        <w:rPr>
          <w:b/>
          <w:bCs/>
          <w:i/>
          <w:iCs/>
          <w:sz w:val="23"/>
          <w:szCs w:val="23"/>
        </w:rPr>
        <w:t xml:space="preserve">4.1. Por qué la expresión se anula</w:t>
      </w:r>
    </w:p>
    <w:p>
      <w:pPr>
        <w:spacing w:after="140" w:before="0" w:line="276"/>
        <w:jc w:val="both"/>
      </w:pPr>
      <w:r>
        <w:t xml:space="preserve">En teoría de grafos, la distancia entre dos vértices se define como la longitud del camino más corto que los une. Es decir, la distancia ya es, por definición, la mínima. Si ambos términos del cociente se miden desde el mismo estado hasta la meta, entonces son la misma cantidad:</w:t>
      </w:r>
    </w:p>
    <w:p>
      <w:pPr>
        <w:spacing w:after="170" w:before="170"/>
        <w:jc w:val="center"/>
      </w:pPr>
      <w:r>
        <w:rPr>
          <w:i/>
          <w:iCs/>
        </w:rPr>
        <w:t xml:space="preserve">D</w:t>
      </w:r>
      <w:r>
        <w:rPr>
          <w:vertAlign w:val="subscript"/>
        </w:rPr>
        <w:t xml:space="preserve">j</w:t>
      </w:r>
      <w:r>
        <w:rPr>
          <w:i/>
          <w:iCs/>
        </w:rPr>
        <w:t xml:space="preserve">  =  </w:t>
      </w:r>
      <w:r>
        <w:rPr>
          <w:i/>
          <w:iCs/>
        </w:rPr>
        <w:t xml:space="preserve">D</w:t>
      </w:r>
      <w:r>
        <w:rPr>
          <w:vertAlign w:val="subscript"/>
        </w:rPr>
        <w:t xml:space="preserve">mín</w:t>
      </w:r>
      <w:r>
        <w:rPr>
          <w:i/>
          <w:iCs/>
        </w:rPr>
        <w:t xml:space="preserve">   ⟹   </w:t>
      </w:r>
      <w:r>
        <w:rPr>
          <w:i/>
          <w:iCs/>
        </w:rPr>
        <w:t xml:space="preserve">C</w:t>
      </w:r>
      <w:r>
        <w:rPr>
          <w:vertAlign w:val="subscript"/>
        </w:rPr>
        <w:t xml:space="preserve">m</w:t>
      </w:r>
      <w:r>
        <w:rPr>
          <w:i/>
          <w:iCs/>
        </w:rPr>
        <w:t xml:space="preserve">  =  | 1 − 1 |  =  0</w:t>
      </w:r>
    </w:p>
    <w:p>
      <w:pPr>
        <w:spacing w:after="140" w:before="0" w:line="276"/>
        <w:jc w:val="both"/>
      </w:pPr>
      <w:r>
        <w:t xml:space="preserve">La calidad del movimiento valdría cero en todos los casos, para todo jugador y toda jugada. Al sumarlas, la ramificación por intento y la ramificación por experiencia también serían nulas. La métrica, aplicada literalmente, no distinguiría a un aprendiz que sigue la ruta óptima de uno que se desvía sistemáticamente, que es justamente la distinción que el diseño de la investigación necesita establecer.</w:t>
      </w:r>
    </w:p>
    <w:p>
      <w:pPr>
        <w:spacing w:after="140" w:before="0" w:line="276"/>
        <w:jc w:val="both"/>
      </w:pPr>
      <w:r>
        <w:t xml:space="preserve">Conviene señalar que la ambigüedad procede del trabajo fuente, que no precisa desde qué estado se mide cada una de las dos distancias. El documento de tesis la heredó al intentar desarrollarla.</w:t>
      </w:r>
    </w:p>
    <w:p>
      <w:pPr>
        <w:pStyle w:val="Heading2"/>
        <w:spacing w:after="110" w:before="240"/>
        <w:jc w:val="left"/>
      </w:pPr>
      <w:r>
        <w:rPr>
          <w:b/>
          <w:bCs/>
          <w:i/>
          <w:iCs/>
          <w:sz w:val="23"/>
          <w:szCs w:val="23"/>
        </w:rPr>
        <w:t xml:space="preserve">4.2. Una ambigüedad de notación adicional</w:t>
      </w:r>
    </w:p>
    <w:p>
      <w:pPr>
        <w:spacing w:after="140" w:before="0" w:line="276"/>
        <w:jc w:val="both"/>
      </w:pPr>
      <w:r>
        <w:t xml:space="preserve">Existe un segundo problema, menor pero conveniente de resolver a la vez. El símbolo D(mín) designa dos magnitudes distintas dentro de la misma sección del documento de tesis:</w:t>
      </w:r>
    </w:p>
    <w:p>
      <w:pPr>
        <w:pStyle w:val="ListParagraph"/>
        <w:numPr>
          <w:ilvl w:val="0"/>
          <w:numId w:val="1"/>
        </w:numPr>
        <w:spacing w:after="90" w:line="276"/>
        <w:jc w:val="both"/>
      </w:pPr>
      <w:r>
        <w:t xml:space="preserve">En el apartado de movimientos óptimos es una constante global, D(mín) = n² + 2n, que vale 35 en el tablero de cinco pares, y el texto afirma que "actúa como denominador de referencia en la métrica de ramificación".</w:t>
      </w:r>
    </w:p>
    <w:p>
      <w:pPr>
        <w:pStyle w:val="ListParagraph"/>
        <w:numPr>
          <w:ilvl w:val="0"/>
          <w:numId w:val="1"/>
        </w:numPr>
        <w:spacing w:after="90" w:line="276"/>
        <w:jc w:val="both"/>
      </w:pPr>
      <w:r>
        <w:t xml:space="preserve">En el apartado de ramificación es una distancia local, medida desde el vértice en que se encuentra el jugador en ese momento.</w:t>
      </w:r>
    </w:p>
    <w:p>
      <w:pPr>
        <w:spacing w:after="140" w:before="0" w:line="276"/>
        <w:jc w:val="both"/>
      </w:pPr>
      <w:r>
        <w:t xml:space="preserve">Son cantidades diferentes con el mismo nombre. Al corregir la ecuación conviene asignar un símbolo distinto a cada una.</w:t>
      </w:r>
    </w:p>
    <w:p>
      <w:pPr>
        <w:pStyle w:val="Heading1"/>
        <w:spacing w:after="160" w:before="360"/>
        <w:jc w:val="left"/>
      </w:pPr>
      <w:r>
        <w:rPr>
          <w:b/>
          <w:bCs/>
          <w:sz w:val="26"/>
          <w:szCs w:val="26"/>
        </w:rPr>
        <w:t xml:space="preserve">5. Diagnóstico 2: la buclicidad mide tamaño, no cantidad</w:t>
      </w:r>
    </w:p>
    <w:p>
      <w:pPr>
        <w:spacing w:after="140" w:before="0" w:line="276"/>
        <w:jc w:val="both"/>
      </w:pPr>
      <w:r>
        <w:t xml:space="preserve">Conviene subrayarlo de entrada: la ecuación de buclicidad del trabajo fuente no está equivocada. Se verificó empíricamente y acierta. El problema es de otra naturaleza: mide una magnitud distinta de la que el análisis necesita.</w:t>
      </w:r>
    </w:p>
    <w:p>
      <w:pPr>
        <w:pStyle w:val="Heading2"/>
        <w:spacing w:after="110" w:before="240"/>
        <w:jc w:val="left"/>
      </w:pPr>
      <w:r>
        <w:rPr>
          <w:b/>
          <w:bCs/>
          <w:i/>
          <w:iCs/>
          <w:sz w:val="23"/>
          <w:szCs w:val="23"/>
        </w:rPr>
        <w:t xml:space="preserve">5.1. Verificación empírica</w:t>
      </w:r>
    </w:p>
    <w:p>
      <w:pPr>
        <w:spacing w:after="140" w:before="0" w:line="276"/>
        <w:jc w:val="both"/>
      </w:pPr>
      <w:r>
        <w:t xml:space="preserve">Para comprobarla se enumeraron todos los ciclos simples del grafo del tablero de dos pares y se clasificaron según cuántas fichas distintas se desplazan dentro de cada uno. La Tabla 3 contrasta los largos observados con los que predice la ecuación.</w:t>
      </w:r>
    </w:p>
    <w:tbl>
      <w:tblPr>
        <w:tblW w:type="dxa" w:w="9360"/>
        <w:tblBorders>
          <w:top w:val="single" w:color="000000" w:sz="6"/>
          <w:left w:val="none"/>
          <w:bottom w:val="single" w:color="000000" w:sz="6"/>
          <w:right w:val="none"/>
          <w:insideH w:val="single" w:color="AAAAAA" w:sz="2"/>
          <w:insideV w:val="none"/>
        </w:tblBorders>
      </w:tblPr>
      <w:tblGrid>
        <w:gridCol w:w="2200"/>
        <w:gridCol w:w="3400"/>
        <w:gridCol w:w="1680"/>
        <w:gridCol w:w="2080"/>
      </w:tblGrid>
      <w:tr>
        <w:trPr>
          <w:tblHeader/>
        </w:trPr>
        <w:tc>
          <w:tcPr>
            <w:tcW w:type="dxa" w:w="2200"/>
            <w:shd w:fill="EFEFEF" w:color="auto" w:val="clear"/>
            <w:tcMar>
              <w:top w:type="dxa" w:w="60"/>
              <w:left w:type="dxa" w:w="110"/>
              <w:bottom w:type="dxa" w:w="60"/>
              <w:right w:type="dxa" w:w="110"/>
            </w:tcMar>
          </w:tcPr>
          <w:p>
            <w:pPr>
              <w:spacing w:after="0" w:line="240"/>
              <w:jc w:val="left"/>
            </w:pPr>
            <w:r>
              <w:rPr>
                <w:b/>
                <w:bCs/>
                <w:sz w:val="20"/>
                <w:szCs w:val="20"/>
              </w:rPr>
              <w:t xml:space="preserve">Fichas en el bucle</w:t>
            </w:r>
          </w:p>
        </w:tc>
        <w:tc>
          <w:tcPr>
            <w:tcW w:type="dxa" w:w="3400"/>
            <w:shd w:fill="EFEFEF" w:color="auto" w:val="clear"/>
            <w:tcMar>
              <w:top w:type="dxa" w:w="60"/>
              <w:left w:type="dxa" w:w="110"/>
              <w:bottom w:type="dxa" w:w="60"/>
              <w:right w:type="dxa" w:w="110"/>
            </w:tcMar>
          </w:tcPr>
          <w:p>
            <w:pPr>
              <w:spacing w:after="0" w:line="240"/>
              <w:jc w:val="left"/>
            </w:pPr>
            <w:r>
              <w:rPr>
                <w:b/>
                <w:bCs/>
                <w:sz w:val="20"/>
                <w:szCs w:val="20"/>
              </w:rPr>
              <w:t xml:space="preserve">Largos observados (nº de ciclos)</w:t>
            </w:r>
          </w:p>
        </w:tc>
        <w:tc>
          <w:tcPr>
            <w:tcW w:type="dxa" w:w="1680"/>
            <w:shd w:fill="EFEFEF" w:color="auto" w:val="clear"/>
            <w:tcMar>
              <w:top w:type="dxa" w:w="60"/>
              <w:left w:type="dxa" w:w="110"/>
              <w:bottom w:type="dxa" w:w="60"/>
              <w:right w:type="dxa" w:w="110"/>
            </w:tcMar>
          </w:tcPr>
          <w:p>
            <w:pPr>
              <w:spacing w:after="0" w:line="240"/>
              <w:jc w:val="left"/>
            </w:pPr>
            <w:r>
              <w:rPr>
                <w:b/>
                <w:bCs/>
                <w:sz w:val="20"/>
                <w:szCs w:val="20"/>
              </w:rPr>
              <w:t xml:space="preserve">B i previsto</w:t>
            </w:r>
          </w:p>
        </w:tc>
        <w:tc>
          <w:tcPr>
            <w:tcW w:type="dxa" w:w="2080"/>
            <w:shd w:fill="EFEFEF" w:color="auto" w:val="clear"/>
            <w:tcMar>
              <w:top w:type="dxa" w:w="60"/>
              <w:left w:type="dxa" w:w="110"/>
              <w:bottom w:type="dxa" w:w="60"/>
              <w:right w:type="dxa" w:w="110"/>
            </w:tcMar>
          </w:tcPr>
          <w:p>
            <w:pPr>
              <w:spacing w:after="0" w:line="240"/>
              <w:jc w:val="left"/>
            </w:pPr>
            <w:r>
              <w:rPr>
                <w:b/>
                <w:bCs/>
                <w:sz w:val="20"/>
                <w:szCs w:val="20"/>
              </w:rPr>
              <w:t xml:space="preserve">Resultado</w:t>
            </w:r>
          </w:p>
        </w:tc>
      </w:tr>
      <w:tr>
        <w:tc>
          <w:tcPr>
            <w:tcW w:type="dxa" w:w="2200"/>
            <w:tcMar>
              <w:top w:type="dxa" w:w="60"/>
              <w:left w:type="dxa" w:w="110"/>
              <w:bottom w:type="dxa" w:w="60"/>
              <w:right w:type="dxa" w:w="110"/>
            </w:tcMar>
          </w:tcPr>
          <w:p>
            <w:pPr>
              <w:spacing w:after="0" w:line="240"/>
              <w:jc w:val="left"/>
            </w:pPr>
            <w:r>
              <w:rPr>
                <w:b w:val="false"/>
                <w:bCs w:val="false"/>
                <w:sz w:val="20"/>
                <w:szCs w:val="20"/>
              </w:rPr>
              <w:t xml:space="preserve">2 (una de cada color)</w:t>
            </w:r>
          </w:p>
        </w:tc>
        <w:tc>
          <w:tcPr>
            <w:tcW w:type="dxa" w:w="3400"/>
            <w:tcMar>
              <w:top w:type="dxa" w:w="60"/>
              <w:left w:type="dxa" w:w="110"/>
              <w:bottom w:type="dxa" w:w="60"/>
              <w:right w:type="dxa" w:w="110"/>
            </w:tcMar>
          </w:tcPr>
          <w:p>
            <w:pPr>
              <w:spacing w:after="0" w:line="240"/>
              <w:jc w:val="left"/>
            </w:pPr>
            <w:r>
              <w:rPr>
                <w:b w:val="false"/>
                <w:bCs w:val="false"/>
                <w:sz w:val="20"/>
                <w:szCs w:val="20"/>
              </w:rPr>
              <w:t xml:space="preserve">6 (6 ciclos)</w:t>
            </w:r>
          </w:p>
        </w:tc>
        <w:tc>
          <w:tcPr>
            <w:tcW w:type="dxa" w:w="1680"/>
            <w:tcMar>
              <w:top w:type="dxa" w:w="60"/>
              <w:left w:type="dxa" w:w="110"/>
              <w:bottom w:type="dxa" w:w="60"/>
              <w:right w:type="dxa" w:w="110"/>
            </w:tcMar>
          </w:tcPr>
          <w:p>
            <w:pPr>
              <w:spacing w:after="0" w:line="240"/>
              <w:jc w:val="left"/>
            </w:pPr>
            <w:r>
              <w:rPr>
                <w:b w:val="false"/>
                <w:bCs w:val="false"/>
                <w:sz w:val="20"/>
                <w:szCs w:val="20"/>
              </w:rPr>
              <w:t xml:space="preserve">6</w:t>
            </w:r>
          </w:p>
        </w:tc>
        <w:tc>
          <w:tcPr>
            <w:tcW w:type="dxa" w:w="2080"/>
            <w:tcMar>
              <w:top w:type="dxa" w:w="60"/>
              <w:left w:type="dxa" w:w="110"/>
              <w:bottom w:type="dxa" w:w="60"/>
              <w:right w:type="dxa" w:w="110"/>
            </w:tcMar>
          </w:tcPr>
          <w:p>
            <w:pPr>
              <w:spacing w:after="0" w:line="240"/>
              <w:jc w:val="left"/>
            </w:pPr>
            <w:r>
              <w:rPr>
                <w:b w:val="false"/>
                <w:bCs w:val="false"/>
                <w:sz w:val="20"/>
                <w:szCs w:val="20"/>
              </w:rPr>
              <w:t xml:space="preserve">Exacto</w:t>
            </w:r>
          </w:p>
        </w:tc>
      </w:tr>
      <w:tr>
        <w:tc>
          <w:tcPr>
            <w:tcW w:type="dxa" w:w="2200"/>
            <w:tcMar>
              <w:top w:type="dxa" w:w="60"/>
              <w:left w:type="dxa" w:w="110"/>
              <w:bottom w:type="dxa" w:w="60"/>
              <w:right w:type="dxa" w:w="110"/>
            </w:tcMar>
          </w:tcPr>
          <w:p>
            <w:pPr>
              <w:spacing w:after="0" w:line="240"/>
              <w:jc w:val="left"/>
            </w:pPr>
            <w:r>
              <w:rPr>
                <w:b w:val="false"/>
                <w:bCs w:val="false"/>
                <w:sz w:val="20"/>
                <w:szCs w:val="20"/>
              </w:rPr>
              <w:t xml:space="preserve">3</w:t>
            </w:r>
          </w:p>
        </w:tc>
        <w:tc>
          <w:tcPr>
            <w:tcW w:type="dxa" w:w="3400"/>
            <w:tcMar>
              <w:top w:type="dxa" w:w="60"/>
              <w:left w:type="dxa" w:w="110"/>
              <w:bottom w:type="dxa" w:w="60"/>
              <w:right w:type="dxa" w:w="110"/>
            </w:tcMar>
          </w:tcPr>
          <w:p>
            <w:pPr>
              <w:spacing w:after="0" w:line="240"/>
              <w:jc w:val="left"/>
            </w:pPr>
            <w:r>
              <w:rPr>
                <w:b w:val="false"/>
                <w:bCs w:val="false"/>
                <w:sz w:val="20"/>
                <w:szCs w:val="20"/>
              </w:rPr>
              <w:t xml:space="preserve">10 (4 ciclos)</w:t>
            </w:r>
          </w:p>
        </w:tc>
        <w:tc>
          <w:tcPr>
            <w:tcW w:type="dxa" w:w="1680"/>
            <w:tcMar>
              <w:top w:type="dxa" w:w="60"/>
              <w:left w:type="dxa" w:w="110"/>
              <w:bottom w:type="dxa" w:w="60"/>
              <w:right w:type="dxa" w:w="110"/>
            </w:tcMar>
          </w:tcPr>
          <w:p>
            <w:pPr>
              <w:spacing w:after="0" w:line="240"/>
              <w:jc w:val="left"/>
            </w:pPr>
            <w:r>
              <w:rPr>
                <w:b w:val="false"/>
                <w:bCs w:val="false"/>
                <w:sz w:val="20"/>
                <w:szCs w:val="20"/>
              </w:rPr>
              <w:t xml:space="preserve">10</w:t>
            </w:r>
          </w:p>
        </w:tc>
        <w:tc>
          <w:tcPr>
            <w:tcW w:type="dxa" w:w="2080"/>
            <w:tcMar>
              <w:top w:type="dxa" w:w="60"/>
              <w:left w:type="dxa" w:w="110"/>
              <w:bottom w:type="dxa" w:w="60"/>
              <w:right w:type="dxa" w:w="110"/>
            </w:tcMar>
          </w:tcPr>
          <w:p>
            <w:pPr>
              <w:spacing w:after="0" w:line="240"/>
              <w:jc w:val="left"/>
            </w:pPr>
            <w:r>
              <w:rPr>
                <w:b w:val="false"/>
                <w:bCs w:val="false"/>
                <w:sz w:val="20"/>
                <w:szCs w:val="20"/>
              </w:rPr>
              <w:t xml:space="preserve">Exacto</w:t>
            </w:r>
          </w:p>
        </w:tc>
      </w:tr>
      <w:tr>
        <w:tc>
          <w:tcPr>
            <w:tcW w:type="dxa" w:w="2200"/>
            <w:tcMar>
              <w:top w:type="dxa" w:w="60"/>
              <w:left w:type="dxa" w:w="110"/>
              <w:bottom w:type="dxa" w:w="60"/>
              <w:right w:type="dxa" w:w="110"/>
            </w:tcMar>
          </w:tcPr>
          <w:p>
            <w:pPr>
              <w:spacing w:after="0" w:line="240"/>
              <w:jc w:val="left"/>
            </w:pPr>
            <w:r>
              <w:rPr>
                <w:b w:val="false"/>
                <w:bCs w:val="false"/>
                <w:sz w:val="20"/>
                <w:szCs w:val="20"/>
              </w:rPr>
              <w:t xml:space="preserve">4 (dos de cada color)</w:t>
            </w:r>
          </w:p>
        </w:tc>
        <w:tc>
          <w:tcPr>
            <w:tcW w:type="dxa" w:w="3400"/>
            <w:tcMar>
              <w:top w:type="dxa" w:w="60"/>
              <w:left w:type="dxa" w:w="110"/>
              <w:bottom w:type="dxa" w:w="60"/>
              <w:right w:type="dxa" w:w="110"/>
            </w:tcMar>
          </w:tcPr>
          <w:p>
            <w:pPr>
              <w:spacing w:after="0" w:line="240"/>
              <w:jc w:val="left"/>
            </w:pPr>
            <w:r>
              <w:rPr>
                <w:b w:val="false"/>
                <w:bCs w:val="false"/>
                <w:sz w:val="20"/>
                <w:szCs w:val="20"/>
              </w:rPr>
              <w:t xml:space="preserve">12 (16), 14 (10), 16 (17), 18 (4), 20 (4)</w:t>
            </w:r>
          </w:p>
        </w:tc>
        <w:tc>
          <w:tcPr>
            <w:tcW w:type="dxa" w:w="1680"/>
            <w:tcMar>
              <w:top w:type="dxa" w:w="60"/>
              <w:left w:type="dxa" w:w="110"/>
              <w:bottom w:type="dxa" w:w="60"/>
              <w:right w:type="dxa" w:w="110"/>
            </w:tcMar>
          </w:tcPr>
          <w:p>
            <w:pPr>
              <w:spacing w:after="0" w:line="240"/>
              <w:jc w:val="left"/>
            </w:pPr>
            <w:r>
              <w:rPr>
                <w:b w:val="false"/>
                <w:bCs w:val="false"/>
                <w:sz w:val="20"/>
                <w:szCs w:val="20"/>
              </w:rPr>
              <w:t xml:space="preserve">16</w:t>
            </w:r>
          </w:p>
        </w:tc>
        <w:tc>
          <w:tcPr>
            <w:tcW w:type="dxa" w:w="2080"/>
            <w:tcMar>
              <w:top w:type="dxa" w:w="60"/>
              <w:left w:type="dxa" w:w="110"/>
              <w:bottom w:type="dxa" w:w="60"/>
              <w:right w:type="dxa" w:w="110"/>
            </w:tcMar>
          </w:tcPr>
          <w:p>
            <w:pPr>
              <w:spacing w:after="0" w:line="240"/>
              <w:jc w:val="left"/>
            </w:pPr>
            <w:r>
              <w:rPr>
                <w:b w:val="false"/>
                <w:bCs w:val="false"/>
                <w:sz w:val="20"/>
                <w:szCs w:val="20"/>
              </w:rPr>
              <w:t xml:space="preserve">El largo más frecuente</w:t>
            </w:r>
          </w:p>
        </w:tc>
      </w:tr>
    </w:tbl>
    <w:p>
      <w:pPr>
        <w:spacing w:after="220" w:before="90"/>
        <w:jc w:val="left"/>
      </w:pPr>
      <w:r>
        <w:rPr>
          <w:sz w:val="19"/>
          <w:szCs w:val="19"/>
        </w:rPr>
        <w:t xml:space="preserve">Tabla 3. Contraste entre los ciclos reales del grafo y los tamaños que predice la ecuación de buclicidad.</w:t>
      </w:r>
    </w:p>
    <w:p>
      <w:pPr>
        <w:spacing w:after="140" w:before="0" w:line="276"/>
        <w:jc w:val="both"/>
      </w:pPr>
      <w:r>
        <w:t xml:space="preserve">Para dos y tres fichas la ecuación proporciona el valor exacto. Para cuatro fichas predice 16, que es el largo más frecuente entre los observados, y la tolerancia de ±2 movimientos que el propio trabajo fuente declara cubre los largos 14, 16 y 18. Los ciclos de largo 12 corresponden a atajos que no recorren la ruta óptima, es decir, el caso que los autores excluyen expresamente al señalar que sus ecuaciones contemplan "únicamente bucles completos que siguen la ruta óptima".</w:t>
      </w:r>
    </w:p>
    <w:p>
      <w:pPr>
        <w:pStyle w:val="Heading2"/>
        <w:spacing w:after="110" w:before="240"/>
        <w:jc w:val="left"/>
      </w:pPr>
      <w:r>
        <w:rPr>
          <w:b/>
          <w:bCs/>
          <w:i/>
          <w:iCs/>
          <w:sz w:val="23"/>
          <w:szCs w:val="23"/>
        </w:rPr>
        <w:t xml:space="preserve">5.2. Qué magnitud mide y cuál falta</w:t>
      </w:r>
    </w:p>
    <w:p>
      <w:pPr>
        <w:spacing w:after="140" w:before="0" w:line="276"/>
        <w:jc w:val="both"/>
      </w:pPr>
      <w:r>
        <w:t xml:space="preserve">La expresión devuelve el tamaño esperado de un bucle completo en el que intervienen n fichas: cuántos movimientos debería durar. Es un valor de referencia, del mismo tipo que la ruta óptima, y se calcula sobre la estructura del grafo, no sobre la conducta observada del aprendiz.</w:t>
      </w:r>
    </w:p>
    <w:p>
      <w:pPr>
        <w:spacing w:after="140" w:before="0" w:line="276"/>
        <w:jc w:val="both"/>
      </w:pPr>
      <w:r>
        <w:t xml:space="preserve">La pregunta que el análisis necesita responder es distinta: cuántas veces regresó el estudiante a un estado por el que ya había pasado, en un intento dado y en el conjunto de la sesión. Esa es una magnitud de recuento, y ninguna de las ecuaciones vigentes la produce.</w:t>
      </w:r>
    </w:p>
    <w:p>
      <w:pPr>
        <w:spacing w:after="140" w:before="0" w:line="276"/>
        <w:jc w:val="both"/>
      </w:pPr>
      <w:r>
        <w:t xml:space="preserve">De ello se derivan dos dificultades prácticas en la buclicidad por experiencia, </w:t>
      </w:r>
      <w:r>
        <w:rPr>
          <w:i/>
          <w:iCs/>
        </w:rPr>
        <w:t xml:space="preserve">B</w:t>
      </w:r>
      <w:r>
        <w:rPr>
          <w:i/>
          <w:iCs/>
          <w:vertAlign w:val="subscript"/>
        </w:rPr>
        <w:t xml:space="preserve">e</w:t>
      </w:r>
      <w:r>
        <w:rPr>
          <w:i/>
          <w:iCs/>
        </w:rPr>
        <w:t xml:space="preserve"> = (1/m) Σ B</w:t>
      </w:r>
      <w:r>
        <w:rPr>
          <w:i/>
          <w:iCs/>
          <w:vertAlign w:val="subscript"/>
        </w:rPr>
        <w:t xml:space="preserve">i</w:t>
      </w:r>
      <w:r>
        <w:t xml:space="preserve">:</w:t>
      </w:r>
    </w:p>
    <w:p>
      <w:pPr>
        <w:pStyle w:val="ListParagraph"/>
        <w:numPr>
          <w:ilvl w:val="0"/>
          <w:numId w:val="1"/>
        </w:numPr>
        <w:spacing w:after="90" w:line="276"/>
        <w:jc w:val="both"/>
      </w:pPr>
      <w:r>
        <w:t xml:space="preserve">Si un intento transcurre sin ningún bucle, no existe un valor de B i que promediar. La expresión queda indefinida precisamente en el caso de mayor interés: el del aprendiz que ha dejado de repetirse.</w:t>
      </w:r>
    </w:p>
    <w:p>
      <w:pPr>
        <w:pStyle w:val="ListParagraph"/>
        <w:numPr>
          <w:ilvl w:val="0"/>
          <w:numId w:val="1"/>
        </w:numPr>
        <w:spacing w:after="90" w:line="276"/>
        <w:jc w:val="both"/>
      </w:pPr>
      <w:r>
        <w:t xml:space="preserve">Si un intento contiene varios bucles de tamaños distintos, la expresión no indica cuál de ellos entra en el promedio.</w:t>
      </w:r>
    </w:p>
    <w:p>
      <w:pPr>
        <w:spacing w:after="140" w:before="0" w:line="276"/>
        <w:jc w:val="both"/>
      </w:pPr>
      <w:r>
        <w:t xml:space="preserve">En consecuencia, con las ecuaciones actuales no puede construirse la gráfica de buclicidad por intento que el propio documento de tesis anuncia, porque no existe un valor único y siempre definido para cada intento.</w:t>
      </w:r>
    </w:p>
    <w:p>
      <w:pPr>
        <w:pStyle w:val="Heading1"/>
        <w:spacing w:after="160" w:before="360"/>
        <w:jc w:val="left"/>
      </w:pPr>
      <w:r>
        <w:rPr>
          <w:b/>
          <w:bCs/>
          <w:sz w:val="26"/>
          <w:szCs w:val="26"/>
        </w:rPr>
        <w:t xml:space="preserve">6. Fundamento en la literatura</w:t>
      </w:r>
    </w:p>
    <w:p>
      <w:pPr>
        <w:spacing w:after="140" w:before="0" w:line="276"/>
        <w:jc w:val="both"/>
      </w:pPr>
      <w:r>
        <w:t xml:space="preserve">Las magnitudes que se proponen en la sección siguiente no son una elaboración ad hoc: son nociones canónicas de la teoría de grafos, y existe además literatura que las aplica a tareas cognitivas de la misma familia que La Escalera.</w:t>
      </w:r>
    </w:p>
    <w:p>
      <w:pPr>
        <w:pStyle w:val="Heading2"/>
        <w:spacing w:after="110" w:before="240"/>
        <w:jc w:val="left"/>
      </w:pPr>
      <w:r>
        <w:rPr>
          <w:b/>
          <w:bCs/>
          <w:i/>
          <w:iCs/>
          <w:sz w:val="23"/>
          <w:szCs w:val="23"/>
        </w:rPr>
        <w:t xml:space="preserve">6.1. El grafo de estados como modelo de las tareas de transformación</w:t>
      </w:r>
    </w:p>
    <w:p>
      <w:pPr>
        <w:spacing w:after="140" w:before="0" w:line="276"/>
        <w:jc w:val="both"/>
      </w:pPr>
      <w:r>
        <w:t xml:space="preserve">Hinz (2012), en Behavioural Neurology, sostiene que el modelo matemático apropiado para el espacio del problema de las tareas de transformación de tipo torre es el grafo de estados que representa las posiciones de las piezas y sus movimientos, y muestra que cantidades como la distancia, las excentricidades, los grados de los vértices y las simetrías del grafo permiten seleccionar tareas y analizar cómo se proyectan sobre él los caminos de solución de los sujetos. La Torre de Hanói y La Escalera pertenecen a la misma familia de problemas de transformación con espacio de estados finito, de modo que ese marco es trasladable casi sin adaptación.</w:t>
      </w:r>
    </w:p>
    <w:p>
      <w:pPr>
        <w:spacing w:after="140" w:before="0" w:line="276"/>
        <w:jc w:val="both"/>
      </w:pPr>
      <w:r>
        <w:t xml:space="preserve">Esta referencia es especialmente pertinente porque procede de una revista de neurología conductual, no de matemática pura: legitima el uso del grafo de estados y de los grados de los vértices como instrumentos de evaluación cognitiva, que es exactamente el puente que esta investigación necesita. El tratamiento matemático exhaustivo de los grafos de esta familia de problemas se encuentra en Hinz, Klavžar y Petr (2018).</w:t>
      </w:r>
    </w:p>
    <w:p>
      <w:pPr>
        <w:pStyle w:val="Heading2"/>
        <w:spacing w:after="110" w:before="240"/>
        <w:jc w:val="left"/>
      </w:pPr>
      <w:r>
        <w:rPr>
          <w:b/>
          <w:bCs/>
          <w:i/>
          <w:iCs/>
          <w:sz w:val="23"/>
          <w:szCs w:val="23"/>
        </w:rPr>
        <w:t xml:space="preserve">6.2. El número ciclomático</w:t>
      </w:r>
    </w:p>
    <w:p>
      <w:pPr>
        <w:spacing w:after="140" w:before="0" w:line="276"/>
        <w:jc w:val="both"/>
      </w:pPr>
      <w:r>
        <w:t xml:space="preserve">La cantidad de ciclos independientes de un grafo es una noción clásica. Se conoce como número ciclomático o rango de circuitos, y equivale al número mínimo de aristas que deben retirarse para destruir todos los ciclos. Su origen se remonta a Kirchhoff (1847), en el contexto del análisis de redes eléctricas. McCabe (1976) la reintrodujo en ingeniería de software como complejidad ciclomática, v(G) = E − N + 2P, para medir la complejidad de un programa a partir de los ciclos de su grafo de flujo; es uno de los artículos más citados de esa disciplina.</w:t>
      </w:r>
    </w:p>
    <w:p>
      <w:pPr>
        <w:spacing w:after="140" w:before="0" w:line="276"/>
        <w:jc w:val="both"/>
      </w:pPr>
      <w:r>
        <w:t xml:space="preserve">Esta segunda tradición es la que justifica interpretar el número ciclomático no como un simple conteo, sino como una medida de cuántos bucles esencialmente distintos recorre un trayecto sobre un grafo.</w:t>
      </w:r>
    </w:p>
    <w:p>
      <w:pPr>
        <w:pStyle w:val="Heading2"/>
        <w:spacing w:after="110" w:before="240"/>
        <w:jc w:val="left"/>
      </w:pPr>
      <w:r>
        <w:rPr>
          <w:b/>
          <w:bCs/>
          <w:i/>
          <w:iCs/>
          <w:sz w:val="23"/>
          <w:szCs w:val="23"/>
        </w:rPr>
        <w:t xml:space="preserve">6.3. El espacio del problema</w:t>
      </w:r>
    </w:p>
    <w:p>
      <w:pPr>
        <w:spacing w:after="140" w:before="0" w:line="276"/>
        <w:jc w:val="both"/>
      </w:pPr>
      <w:r>
        <w:t xml:space="preserve">El marco conceptual general —la noción de espacio del problema y de búsqueda en un espacio de estados— procede de Newell y Simon (1972), raíz teórica común tanto del trabajo de grado fuente como de esta investigación. La noción de factor de ramificación de un espacio de búsqueda, que da nombre a la métrica de ramificación, es estándar en esa tradición y se encuentra sistematizada en Russell y Norvig.</w:t>
      </w:r>
    </w:p>
    <w:p>
      <w:pPr>
        <w:pStyle w:val="Heading1"/>
        <w:spacing w:after="160" w:before="360"/>
        <w:jc w:val="left"/>
      </w:pPr>
      <w:r>
        <w:rPr>
          <w:b/>
          <w:bCs/>
          <w:sz w:val="26"/>
          <w:szCs w:val="26"/>
        </w:rPr>
        <w:t xml:space="preserve">7. Propuesta de consolidación</w:t>
      </w:r>
    </w:p>
    <w:p>
      <w:pPr>
        <w:spacing w:after="140" w:before="0" w:line="276"/>
        <w:jc w:val="both"/>
      </w:pPr>
      <w:r>
        <w:t xml:space="preserve">La propuesta se guía por un criterio: conservar íntegramente el aparato del trabajo fuente y precisar únicamente lo que quedó sin especificar. Nada de lo que los autores proponen se descarta.</w:t>
      </w:r>
    </w:p>
    <w:p>
      <w:pPr>
        <w:pStyle w:val="Heading2"/>
        <w:spacing w:after="110" w:before="240"/>
        <w:jc w:val="left"/>
      </w:pPr>
      <w:r>
        <w:rPr>
          <w:b/>
          <w:bCs/>
          <w:i/>
          <w:iCs/>
          <w:sz w:val="23"/>
          <w:szCs w:val="23"/>
        </w:rPr>
        <w:t xml:space="preserve">7.1. Calidad del movimiento: tres opciones</w:t>
      </w:r>
    </w:p>
    <w:p>
      <w:pPr>
        <w:spacing w:after="140" w:before="0" w:line="276"/>
        <w:jc w:val="both"/>
      </w:pPr>
      <w:r>
        <w:t xml:space="preserve">Sea </w:t>
      </w:r>
      <w:r>
        <w:rPr>
          <w:i/>
          <w:iCs/>
        </w:rPr>
        <w:t xml:space="preserve">d(s)</w:t>
      </w:r>
      <w:r>
        <w:t xml:space="preserve"> la distancia desde el estado </w:t>
      </w:r>
      <w:r>
        <w:rPr>
          <w:i/>
          <w:iCs/>
        </w:rPr>
        <w:t xml:space="preserve">s</w:t>
      </w:r>
      <w:r>
        <w:t xml:space="preserve"> hasta la meta, y sean </w:t>
      </w:r>
      <w:r>
        <w:rPr>
          <w:i/>
          <w:iCs/>
        </w:rPr>
        <w:t xml:space="preserve">s</w:t>
      </w:r>
      <w:r>
        <w:rPr>
          <w:i/>
          <w:iCs/>
          <w:vertAlign w:val="subscript"/>
        </w:rPr>
        <w:t xml:space="preserve">k−1</w:t>
      </w:r>
      <w:r>
        <w:t xml:space="preserve"> el estado anterior al movimiento </w:t>
      </w:r>
      <w:r>
        <w:rPr>
          <w:i/>
          <w:iCs/>
        </w:rPr>
        <w:t xml:space="preserve">k</w:t>
      </w:r>
      <w:r>
        <w:t xml:space="preserve"> y </w:t>
      </w:r>
      <w:r>
        <w:rPr>
          <w:i/>
          <w:iCs/>
        </w:rPr>
        <w:t xml:space="preserve">s</w:t>
      </w:r>
      <w:r>
        <w:rPr>
          <w:i/>
          <w:iCs/>
          <w:vertAlign w:val="subscript"/>
        </w:rPr>
        <w:t xml:space="preserve">k</w:t>
      </w:r>
      <w:r>
        <w:t xml:space="preserve"> el posterior. La Tabla 4 compara las tres formas posibles de precisar el denominador.</w:t>
      </w:r>
    </w:p>
    <w:tbl>
      <w:tblPr>
        <w:tblW w:type="dxa" w:w="9360"/>
        <w:tblBorders>
          <w:top w:val="single" w:color="000000" w:sz="6"/>
          <w:left w:val="none"/>
          <w:bottom w:val="single" w:color="000000" w:sz="6"/>
          <w:right w:val="none"/>
          <w:insideH w:val="single" w:color="AAAAAA" w:sz="2"/>
          <w:insideV w:val="none"/>
        </w:tblBorders>
      </w:tblPr>
      <w:tblGrid>
        <w:gridCol w:w="1000"/>
        <w:gridCol w:w="3060"/>
        <w:gridCol w:w="2650"/>
        <w:gridCol w:w="2650"/>
      </w:tblGrid>
      <w:tr>
        <w:trPr>
          <w:tblHeader/>
        </w:trPr>
        <w:tc>
          <w:tcPr>
            <w:tcW w:type="dxa" w:w="1000"/>
            <w:shd w:fill="EFEFEF" w:color="auto" w:val="clear"/>
            <w:tcMar>
              <w:top w:type="dxa" w:w="60"/>
              <w:left w:type="dxa" w:w="110"/>
              <w:bottom w:type="dxa" w:w="60"/>
              <w:right w:type="dxa" w:w="110"/>
            </w:tcMar>
          </w:tcPr>
          <w:p>
            <w:pPr>
              <w:spacing w:after="0" w:line="240"/>
              <w:jc w:val="left"/>
            </w:pPr>
            <w:r>
              <w:rPr>
                <w:b/>
                <w:bCs/>
                <w:sz w:val="20"/>
                <w:szCs w:val="20"/>
              </w:rPr>
              <w:t xml:space="preserve">Opción</w:t>
            </w:r>
          </w:p>
        </w:tc>
        <w:tc>
          <w:tcPr>
            <w:tcW w:type="dxa" w:w="3060"/>
            <w:shd w:fill="EFEFEF" w:color="auto" w:val="clear"/>
            <w:tcMar>
              <w:top w:type="dxa" w:w="60"/>
              <w:left w:type="dxa" w:w="110"/>
              <w:bottom w:type="dxa" w:w="60"/>
              <w:right w:type="dxa" w:w="110"/>
            </w:tcMar>
          </w:tcPr>
          <w:p>
            <w:pPr>
              <w:spacing w:after="0" w:line="240"/>
              <w:jc w:val="left"/>
            </w:pPr>
            <w:r>
              <w:rPr>
                <w:b/>
                <w:bCs/>
                <w:sz w:val="20"/>
                <w:szCs w:val="20"/>
              </w:rPr>
              <w:t xml:space="preserve">Expresión</w:t>
            </w:r>
          </w:p>
        </w:tc>
        <w:tc>
          <w:tcPr>
            <w:tcW w:type="dxa" w:w="2650"/>
            <w:shd w:fill="EFEFEF" w:color="auto" w:val="clear"/>
            <w:tcMar>
              <w:top w:type="dxa" w:w="60"/>
              <w:left w:type="dxa" w:w="110"/>
              <w:bottom w:type="dxa" w:w="60"/>
              <w:right w:type="dxa" w:w="110"/>
            </w:tcMar>
          </w:tcPr>
          <w:p>
            <w:pPr>
              <w:spacing w:after="0" w:line="240"/>
              <w:jc w:val="left"/>
            </w:pPr>
            <w:r>
              <w:rPr>
                <w:b/>
                <w:bCs/>
                <w:sz w:val="20"/>
                <w:szCs w:val="20"/>
              </w:rPr>
              <w:t xml:space="preserve">Ventaja</w:t>
            </w:r>
          </w:p>
        </w:tc>
        <w:tc>
          <w:tcPr>
            <w:tcW w:type="dxa" w:w="2650"/>
            <w:shd w:fill="EFEFEF" w:color="auto" w:val="clear"/>
            <w:tcMar>
              <w:top w:type="dxa" w:w="60"/>
              <w:left w:type="dxa" w:w="110"/>
              <w:bottom w:type="dxa" w:w="60"/>
              <w:right w:type="dxa" w:w="110"/>
            </w:tcMar>
          </w:tcPr>
          <w:p>
            <w:pPr>
              <w:spacing w:after="0" w:line="240"/>
              <w:jc w:val="left"/>
            </w:pPr>
            <w:r>
              <w:rPr>
                <w:b/>
                <w:bCs/>
                <w:sz w:val="20"/>
                <w:szCs w:val="20"/>
              </w:rPr>
              <w:t xml:space="preserve">Inconveniente</w:t>
            </w:r>
          </w:p>
        </w:tc>
      </w:tr>
      <w:tr>
        <w:tc>
          <w:tcPr>
            <w:tcW w:type="dxa" w:w="1000"/>
            <w:tcMar>
              <w:top w:type="dxa" w:w="60"/>
              <w:left w:type="dxa" w:w="110"/>
              <w:bottom w:type="dxa" w:w="60"/>
              <w:right w:type="dxa" w:w="110"/>
            </w:tcMar>
          </w:tcPr>
          <w:p>
            <w:pPr>
              <w:spacing w:after="0" w:line="240"/>
              <w:jc w:val="left"/>
            </w:pPr>
            <w:r>
              <w:rPr>
                <w:b w:val="false"/>
                <w:bCs w:val="false"/>
                <w:sz w:val="20"/>
                <w:szCs w:val="20"/>
              </w:rPr>
              <w:t xml:space="preserve">A</w:t>
            </w:r>
          </w:p>
        </w:tc>
        <w:tc>
          <w:tcPr>
            <w:tcW w:type="dxa" w:w="3060"/>
            <w:tcMar>
              <w:top w:type="dxa" w:w="60"/>
              <w:left w:type="dxa" w:w="110"/>
              <w:bottom w:type="dxa" w:w="60"/>
              <w:right w:type="dxa" w:w="110"/>
            </w:tcMar>
          </w:tcPr>
          <w:p>
            <w:pPr>
              <w:spacing w:after="0" w:line="240"/>
              <w:jc w:val="left"/>
            </w:pPr>
            <w:r>
              <w:rPr>
                <w:i/>
                <w:iCs/>
                <w:sz w:val="20"/>
                <w:szCs w:val="20"/>
              </w:rPr>
              <w:t xml:space="preserve">C</w:t>
            </w:r>
            <w:r>
              <w:rPr>
                <w:i/>
                <w:iCs/>
                <w:sz w:val="20"/>
                <w:szCs w:val="20"/>
                <w:vertAlign w:val="subscript"/>
              </w:rPr>
              <w:t xml:space="preserve">m</w:t>
            </w:r>
            <w:r>
              <w:rPr>
                <w:i/>
                <w:iCs/>
                <w:sz w:val="20"/>
                <w:szCs w:val="20"/>
              </w:rPr>
              <w:t xml:space="preserve"> = | 1 − d(s</w:t>
            </w:r>
            <w:r>
              <w:rPr>
                <w:i/>
                <w:iCs/>
                <w:sz w:val="20"/>
                <w:szCs w:val="20"/>
                <w:vertAlign w:val="subscript"/>
              </w:rPr>
              <w:t xml:space="preserve">k</w:t>
            </w:r>
            <w:r>
              <w:rPr>
                <w:i/>
                <w:iCs/>
                <w:sz w:val="20"/>
                <w:szCs w:val="20"/>
              </w:rPr>
              <w:t xml:space="preserve">) / (d(s</w:t>
            </w:r>
            <w:r>
              <w:rPr>
                <w:i/>
                <w:iCs/>
                <w:sz w:val="20"/>
                <w:szCs w:val="20"/>
                <w:vertAlign w:val="subscript"/>
              </w:rPr>
              <w:t xml:space="preserve">k−1</w:t>
            </w:r>
            <w:r>
              <w:rPr>
                <w:i/>
                <w:iCs/>
                <w:sz w:val="20"/>
                <w:szCs w:val="20"/>
              </w:rPr>
              <w:t xml:space="preserve">) − 1) |</w:t>
            </w:r>
            <w:r>
              <w:rPr>
                <w:sz w:val="20"/>
                <w:szCs w:val="20"/>
              </w:rPr>
              <w:t xml:space="preserve">  — el denominador es el óptimo alcanzable en ese movimiento</w:t>
            </w:r>
          </w:p>
        </w:tc>
        <w:tc>
          <w:tcPr>
            <w:tcW w:type="dxa" w:w="2650"/>
            <w:tcMar>
              <w:top w:type="dxa" w:w="60"/>
              <w:left w:type="dxa" w:w="110"/>
              <w:bottom w:type="dxa" w:w="60"/>
              <w:right w:type="dxa" w:w="110"/>
            </w:tcMar>
          </w:tcPr>
          <w:p>
            <w:pPr>
              <w:spacing w:after="0" w:line="240"/>
              <w:jc w:val="left"/>
            </w:pPr>
            <w:r>
              <w:rPr>
                <w:b w:val="false"/>
                <w:bCs w:val="false"/>
                <w:sz w:val="20"/>
                <w:szCs w:val="20"/>
              </w:rPr>
              <w:t xml:space="preserve">Conserva la forma algebraica del trabajo fuente y hace verdadera la interpretación ya escrita: un movimiento óptimo da cero.</w:t>
            </w:r>
          </w:p>
        </w:tc>
        <w:tc>
          <w:tcPr>
            <w:tcW w:type="dxa" w:w="2650"/>
            <w:tcMar>
              <w:top w:type="dxa" w:w="60"/>
              <w:left w:type="dxa" w:w="110"/>
              <w:bottom w:type="dxa" w:w="60"/>
              <w:right w:type="dxa" w:w="110"/>
            </w:tcMar>
          </w:tcPr>
          <w:p>
            <w:pPr>
              <w:spacing w:after="0" w:line="240"/>
              <w:jc w:val="left"/>
            </w:pPr>
            <w:r>
              <w:rPr>
                <w:b w:val="false"/>
                <w:bCs w:val="false"/>
                <w:sz w:val="20"/>
                <w:szCs w:val="20"/>
              </w:rPr>
              <w:t xml:space="preserve">Se indetermina en el último movimiento, cuando el denominador se anula. Requiere fijar una convención.</w:t>
            </w:r>
          </w:p>
        </w:tc>
      </w:tr>
      <w:tr>
        <w:tc>
          <w:tcPr>
            <w:tcW w:type="dxa" w:w="1000"/>
            <w:tcMar>
              <w:top w:type="dxa" w:w="60"/>
              <w:left w:type="dxa" w:w="110"/>
              <w:bottom w:type="dxa" w:w="60"/>
              <w:right w:type="dxa" w:w="110"/>
            </w:tcMar>
          </w:tcPr>
          <w:p>
            <w:pPr>
              <w:spacing w:after="0" w:line="240"/>
              <w:jc w:val="left"/>
            </w:pPr>
            <w:r>
              <w:rPr>
                <w:b w:val="false"/>
                <w:bCs w:val="false"/>
                <w:sz w:val="20"/>
                <w:szCs w:val="20"/>
              </w:rPr>
              <w:t xml:space="preserve">B</w:t>
            </w:r>
          </w:p>
        </w:tc>
        <w:tc>
          <w:tcPr>
            <w:tcW w:type="dxa" w:w="3060"/>
            <w:tcMar>
              <w:top w:type="dxa" w:w="60"/>
              <w:left w:type="dxa" w:w="110"/>
              <w:bottom w:type="dxa" w:w="60"/>
              <w:right w:type="dxa" w:w="110"/>
            </w:tcMar>
          </w:tcPr>
          <w:p>
            <w:pPr>
              <w:spacing w:after="0" w:line="240"/>
              <w:jc w:val="left"/>
            </w:pPr>
            <w:r>
              <w:rPr>
                <w:i/>
                <w:iCs/>
                <w:sz w:val="20"/>
                <w:szCs w:val="20"/>
              </w:rPr>
              <w:t xml:space="preserve">r</w:t>
            </w:r>
            <w:r>
              <w:rPr>
                <w:i/>
                <w:iCs/>
                <w:sz w:val="20"/>
                <w:szCs w:val="20"/>
                <w:vertAlign w:val="subscript"/>
              </w:rPr>
              <w:t xml:space="preserve">k</w:t>
            </w:r>
            <w:r>
              <w:rPr>
                <w:i/>
                <w:iCs/>
                <w:sz w:val="20"/>
                <w:szCs w:val="20"/>
              </w:rPr>
              <w:t xml:space="preserve"> = d(s</w:t>
            </w:r>
            <w:r>
              <w:rPr>
                <w:i/>
                <w:iCs/>
                <w:sz w:val="20"/>
                <w:szCs w:val="20"/>
                <w:vertAlign w:val="subscript"/>
              </w:rPr>
              <w:t xml:space="preserve">k</w:t>
            </w:r>
            <w:r>
              <w:rPr>
                <w:i/>
                <w:iCs/>
                <w:sz w:val="20"/>
                <w:szCs w:val="20"/>
              </w:rPr>
              <w:t xml:space="preserve">) − d(s</w:t>
            </w:r>
            <w:r>
              <w:rPr>
                <w:i/>
                <w:iCs/>
                <w:sz w:val="20"/>
                <w:szCs w:val="20"/>
                <w:vertAlign w:val="subscript"/>
              </w:rPr>
              <w:t xml:space="preserve">k−1</w:t>
            </w:r>
            <w:r>
              <w:rPr>
                <w:i/>
                <w:iCs/>
                <w:sz w:val="20"/>
                <w:szCs w:val="20"/>
              </w:rPr>
              <w:t xml:space="preserve">) + 1</w:t>
            </w:r>
            <w:r>
              <w:rPr>
                <w:sz w:val="20"/>
                <w:szCs w:val="20"/>
              </w:rPr>
              <w:t xml:space="preserve">, con valores 0, 1 o 2; su suma da </w:t>
            </w:r>
            <w:r>
              <w:rPr>
                <w:i/>
                <w:iCs/>
                <w:sz w:val="20"/>
                <w:szCs w:val="20"/>
              </w:rPr>
              <w:t xml:space="preserve">R</w:t>
            </w:r>
            <w:r>
              <w:rPr>
                <w:i/>
                <w:iCs/>
                <w:sz w:val="20"/>
                <w:szCs w:val="20"/>
                <w:vertAlign w:val="subscript"/>
              </w:rPr>
              <w:t xml:space="preserve">i</w:t>
            </w:r>
            <w:r>
              <w:rPr>
                <w:i/>
                <w:iCs/>
                <w:sz w:val="20"/>
                <w:szCs w:val="20"/>
              </w:rPr>
              <w:t xml:space="preserve"> = L</w:t>
            </w:r>
            <w:r>
              <w:rPr>
                <w:i/>
                <w:iCs/>
                <w:sz w:val="20"/>
                <w:szCs w:val="20"/>
                <w:vertAlign w:val="subscript"/>
              </w:rPr>
              <w:t xml:space="preserve">i</w:t>
            </w:r>
            <w:r>
              <w:rPr>
                <w:i/>
                <w:iCs/>
                <w:sz w:val="20"/>
                <w:szCs w:val="20"/>
              </w:rPr>
              <w:t xml:space="preserve"> − D</w:t>
            </w:r>
            <w:r>
              <w:rPr>
                <w:i/>
                <w:iCs/>
                <w:sz w:val="20"/>
                <w:szCs w:val="20"/>
                <w:vertAlign w:val="subscript"/>
              </w:rPr>
              <w:t xml:space="preserve">mín</w:t>
            </w:r>
          </w:p>
        </w:tc>
        <w:tc>
          <w:tcPr>
            <w:tcW w:type="dxa" w:w="2650"/>
            <w:tcMar>
              <w:top w:type="dxa" w:w="60"/>
              <w:left w:type="dxa" w:w="110"/>
              <w:bottom w:type="dxa" w:w="60"/>
              <w:right w:type="dxa" w:w="110"/>
            </w:tcMar>
          </w:tcPr>
          <w:p>
            <w:pPr>
              <w:spacing w:after="0" w:line="240"/>
              <w:jc w:val="left"/>
            </w:pPr>
            <w:r>
              <w:rPr>
                <w:b w:val="false"/>
                <w:bCs w:val="false"/>
                <w:sz w:val="20"/>
                <w:szCs w:val="20"/>
              </w:rPr>
              <w:t xml:space="preserve">Entera, sin indeterminaciones. La ramificación por intento resulta ser el número de movimientos de más sobre la ruta óptima.</w:t>
            </w:r>
          </w:p>
        </w:tc>
        <w:tc>
          <w:tcPr>
            <w:tcW w:type="dxa" w:w="2650"/>
            <w:tcMar>
              <w:top w:type="dxa" w:w="60"/>
              <w:left w:type="dxa" w:w="110"/>
              <w:bottom w:type="dxa" w:w="60"/>
              <w:right w:type="dxa" w:w="110"/>
            </w:tcMar>
          </w:tcPr>
          <w:p>
            <w:pPr>
              <w:spacing w:after="0" w:line="240"/>
              <w:jc w:val="left"/>
            </w:pPr>
            <w:r>
              <w:rPr>
                <w:b w:val="false"/>
                <w:bCs w:val="false"/>
                <w:sz w:val="20"/>
                <w:szCs w:val="20"/>
              </w:rPr>
              <w:t xml:space="preserve">Abandona la forma algebraica heredada del trabajo fuente.</w:t>
            </w:r>
          </w:p>
        </w:tc>
      </w:tr>
      <w:tr>
        <w:tc>
          <w:tcPr>
            <w:tcW w:type="dxa" w:w="1000"/>
            <w:tcMar>
              <w:top w:type="dxa" w:w="60"/>
              <w:left w:type="dxa" w:w="110"/>
              <w:bottom w:type="dxa" w:w="60"/>
              <w:right w:type="dxa" w:w="110"/>
            </w:tcMar>
          </w:tcPr>
          <w:p>
            <w:pPr>
              <w:spacing w:after="0" w:line="240"/>
              <w:jc w:val="left"/>
            </w:pPr>
            <w:r>
              <w:rPr>
                <w:b w:val="false"/>
                <w:bCs w:val="false"/>
                <w:sz w:val="20"/>
                <w:szCs w:val="20"/>
              </w:rPr>
              <w:t xml:space="preserve">C</w:t>
            </w:r>
          </w:p>
        </w:tc>
        <w:tc>
          <w:tcPr>
            <w:tcW w:type="dxa" w:w="3060"/>
            <w:tcMar>
              <w:top w:type="dxa" w:w="60"/>
              <w:left w:type="dxa" w:w="110"/>
              <w:bottom w:type="dxa" w:w="60"/>
              <w:right w:type="dxa" w:w="110"/>
            </w:tcMar>
          </w:tcPr>
          <w:p>
            <w:pPr>
              <w:spacing w:after="0" w:line="240"/>
              <w:jc w:val="left"/>
            </w:pPr>
            <w:r>
              <w:rPr>
                <w:i/>
                <w:iCs/>
                <w:sz w:val="20"/>
                <w:szCs w:val="20"/>
              </w:rPr>
              <w:t xml:space="preserve">C</w:t>
            </w:r>
            <w:r>
              <w:rPr>
                <w:i/>
                <w:iCs/>
                <w:sz w:val="20"/>
                <w:szCs w:val="20"/>
                <w:vertAlign w:val="subscript"/>
              </w:rPr>
              <w:t xml:space="preserve">m</w:t>
            </w:r>
            <w:r>
              <w:rPr>
                <w:i/>
                <w:iCs/>
                <w:sz w:val="20"/>
                <w:szCs w:val="20"/>
              </w:rPr>
              <w:t xml:space="preserve"> = | 1 − D</w:t>
            </w:r>
            <w:r>
              <w:rPr>
                <w:i/>
                <w:iCs/>
                <w:sz w:val="20"/>
                <w:szCs w:val="20"/>
                <w:vertAlign w:val="subscript"/>
              </w:rPr>
              <w:t xml:space="preserve">j</w:t>
            </w:r>
            <w:r>
              <w:rPr>
                <w:i/>
                <w:iCs/>
                <w:sz w:val="20"/>
                <w:szCs w:val="20"/>
              </w:rPr>
              <w:t xml:space="preserve"> / (n² + 2n) |</w:t>
            </w:r>
            <w:r>
              <w:rPr>
                <w:sz w:val="20"/>
                <w:szCs w:val="20"/>
              </w:rPr>
              <w:t xml:space="preserve">  — el denominador es la ruta óptima global</w:t>
            </w:r>
          </w:p>
        </w:tc>
        <w:tc>
          <w:tcPr>
            <w:tcW w:type="dxa" w:w="2650"/>
            <w:tcMar>
              <w:top w:type="dxa" w:w="60"/>
              <w:left w:type="dxa" w:w="110"/>
              <w:bottom w:type="dxa" w:w="60"/>
              <w:right w:type="dxa" w:w="110"/>
            </w:tcMar>
          </w:tcPr>
          <w:p>
            <w:pPr>
              <w:spacing w:after="0" w:line="240"/>
              <w:jc w:val="left"/>
            </w:pPr>
            <w:r>
              <w:rPr>
                <w:b w:val="false"/>
                <w:bCs w:val="false"/>
                <w:sz w:val="20"/>
                <w:szCs w:val="20"/>
              </w:rPr>
              <w:t xml:space="preserve">Es la lectura más literal del trabajo fuente y no se indetermina nunca.</w:t>
            </w:r>
          </w:p>
        </w:tc>
        <w:tc>
          <w:tcPr>
            <w:tcW w:type="dxa" w:w="2650"/>
            <w:tcMar>
              <w:top w:type="dxa" w:w="60"/>
              <w:left w:type="dxa" w:w="110"/>
              <w:bottom w:type="dxa" w:w="60"/>
              <w:right w:type="dxa" w:w="110"/>
            </w:tcMar>
          </w:tcPr>
          <w:p>
            <w:pPr>
              <w:spacing w:after="0" w:line="240"/>
              <w:jc w:val="left"/>
            </w:pPr>
            <w:r>
              <w:rPr>
                <w:b w:val="false"/>
                <w:bCs w:val="false"/>
                <w:sz w:val="20"/>
                <w:szCs w:val="20"/>
              </w:rPr>
              <w:t xml:space="preserve">Mide el avance hacia la meta, no la calidad de la decisión: una partida perfecta acumularía un valor alto de ramificación.</w:t>
            </w:r>
          </w:p>
        </w:tc>
      </w:tr>
    </w:tbl>
    <w:p>
      <w:pPr>
        <w:spacing w:after="220" w:before="90"/>
        <w:jc w:val="left"/>
      </w:pPr>
      <w:r>
        <w:rPr>
          <w:sz w:val="19"/>
          <w:szCs w:val="19"/>
        </w:rPr>
        <w:t xml:space="preserve">Tabla 4. Opciones para precisar el denominador de la calidad del movimiento.</w:t>
      </w:r>
    </w:p>
    <w:p>
      <w:pPr>
        <w:spacing w:after="140" w:before="0" w:line="276"/>
        <w:jc w:val="both"/>
      </w:pPr>
      <w:r>
        <w:t xml:space="preserve">Se recomienda la </w:t>
      </w:r>
      <w:r>
        <w:rPr>
          <w:b/>
          <w:bCs/>
        </w:rPr>
        <w:t xml:space="preserve">opción A</w:t>
      </w:r>
      <w:r>
        <w:t xml:space="preserve">, por tres razones. Primero, no modifica la ecuación: únicamente precisa desde dónde se mide cada distancia, que es lo que el trabajo fuente dejó sin especificar. Segundo, es la única que hace verdadera la frase ya escrita en el documento de tesis según la cual un movimiento óptimo produce un valor nulo; con la opción C esa afirmación sería falsa. Tercero, respeta el sentido que los autores dan a la métrica cuando la describen como "una valoración instantánea acorde con la toma decisional": una valoración instantánea se mide movimiento a movimiento, contra lo que era posible en ese momento, y no contra una constante válida para toda la partida.</w:t>
      </w:r>
    </w:p>
    <w:p>
      <w:pPr>
        <w:spacing w:after="140" w:before="0" w:line="276"/>
        <w:jc w:val="both"/>
      </w:pPr>
      <w:r>
        <w:t xml:space="preserve">Para la indeterminación del último movimiento se propone la convención siguiente: la calidad vale cero si ese movimiento alcanza la meta, y uno en caso contrario.</w:t>
      </w:r>
    </w:p>
    <w:p>
      <w:pPr>
        <w:spacing w:after="140" w:before="0" w:line="276"/>
        <w:jc w:val="both"/>
      </w:pPr>
      <w:r>
        <w:t xml:space="preserve">Debe notarse que la opción B no compite con la A. El exceso de movimientos sobre la ruta óptima es una cantidad que el documento de tesis ya interpreta en su texto, y puede reportarse junto a la ramificación por intento sin contradicción alguna: son dos miradas del mismo recorrido, una por decisión individual y otra por intento completo.</w:t>
      </w:r>
    </w:p>
    <w:p>
      <w:pPr>
        <w:pStyle w:val="Heading2"/>
        <w:spacing w:after="110" w:before="240"/>
        <w:jc w:val="left"/>
      </w:pPr>
      <w:r>
        <w:rPr>
          <w:b/>
          <w:bCs/>
          <w:i/>
          <w:iCs/>
          <w:sz w:val="23"/>
          <w:szCs w:val="23"/>
        </w:rPr>
        <w:t xml:space="preserve">7.2. Buclicidad: conservar y complementar</w:t>
      </w:r>
    </w:p>
    <w:p>
      <w:pPr>
        <w:spacing w:after="140" w:before="0" w:line="276"/>
        <w:jc w:val="both"/>
      </w:pPr>
      <w:r>
        <w:t xml:space="preserve">La ecuación del trabajo fuente queda intacta y validada. Lo que se añade no la corrige, la completa. El recorrido de un intento se describe como un paseo por el grafo, W = (s0, s1, …, sL); sean V(W) los estados distintos visitados y E(W) las aristas distintas recorridas; la terminología de paseo, ciclo y cuello sigue a Diestel (2017). Se proponen tres cantidades complementarias:</w:t>
      </w:r>
    </w:p>
    <w:p>
      <w:pPr>
        <w:spacing w:after="140" w:before="0" w:line="276"/>
        <w:jc w:val="both"/>
      </w:pPr>
      <w:r>
        <w:rPr>
          <w:b/>
          <w:bCs/>
        </w:rPr>
        <w:t xml:space="preserve">a) Retornos. </w:t>
      </w:r>
      <w:r>
        <w:t xml:space="preserve">Responde directamente a la pregunta de cuántas veces el aprendiz volvió sobre sus pasos:</w:t>
      </w:r>
    </w:p>
    <w:p>
      <w:pPr>
        <w:spacing w:after="170" w:before="170"/>
        <w:jc w:val="center"/>
      </w:pPr>
      <w:r>
        <w:rPr>
          <w:i/>
          <w:iCs/>
        </w:rPr>
        <w:t xml:space="preserve">ν</w:t>
      </w:r>
      <w:r>
        <w:rPr>
          <w:vertAlign w:val="subscript"/>
        </w:rPr>
        <w:t xml:space="preserve">i</w:t>
      </w:r>
      <w:r>
        <w:rPr>
          <w:i/>
          <w:iCs/>
        </w:rPr>
        <w:t xml:space="preserve">  =  ( L</w:t>
      </w:r>
      <w:r>
        <w:rPr>
          <w:vertAlign w:val="subscript"/>
        </w:rPr>
        <w:t xml:space="preserve">i</w:t>
      </w:r>
      <w:r>
        <w:rPr>
          <w:i/>
          <w:iCs/>
        </w:rPr>
        <w:t xml:space="preserve"> + 1 ) − | V(W</w:t>
      </w:r>
      <w:r>
        <w:rPr>
          <w:vertAlign w:val="subscript"/>
        </w:rPr>
        <w:t xml:space="preserve">i</w:t>
      </w:r>
      <w:r>
        <w:rPr>
          <w:i/>
          <w:iCs/>
        </w:rPr>
        <w:t xml:space="preserve">) |</w:t>
      </w:r>
    </w:p>
    <w:p>
      <w:pPr>
        <w:spacing w:after="140" w:before="0" w:line="276"/>
        <w:jc w:val="both"/>
      </w:pPr>
      <w:r>
        <w:t xml:space="preserve">Cuenta cuántas veces el paseo llega a un estado en el que ya había estado. Vale cero si no se repitió ninguna posición, de modo que está siempre definida, también en el caso que la ecuación heredada no cubre.</w:t>
      </w:r>
    </w:p>
    <w:p>
      <w:pPr>
        <w:spacing w:after="140" w:before="0" w:line="276"/>
        <w:jc w:val="both"/>
      </w:pPr>
      <w:r>
        <w:rPr>
          <w:b/>
          <w:bCs/>
        </w:rPr>
        <w:t xml:space="preserve">b) Tamaño de cada bucle. </w:t>
      </w:r>
      <w:r>
        <w:t xml:space="preserve">Si el estado s k repite uno anterior s j, el bucle es el tramo cerrado entre ambos y su tamaño es ℓ = k − j. Por el resultado de la sección 3, ℓ ≥ 6 siempre. Aquí es donde la ecuación heredada conserva su función: cada ℓ observado se compara con el B i que ella predice para esa cantidad de fichas, lo que permite juzgar si el bucle del aprendiz fue un bucle completo o un atajo.</w:t>
      </w:r>
    </w:p>
    <w:p>
      <w:pPr>
        <w:spacing w:after="140" w:before="0" w:line="276"/>
        <w:jc w:val="both"/>
      </w:pPr>
      <w:r>
        <w:rPr>
          <w:b/>
          <w:bCs/>
        </w:rPr>
        <w:t xml:space="preserve">c) Ciclos independientes. </w:t>
      </w:r>
      <w:r>
        <w:t xml:space="preserve">El número ciclomático del subgrafo efectivamente recorrido:</w:t>
      </w:r>
    </w:p>
    <w:p>
      <w:pPr>
        <w:spacing w:after="170" w:before="170"/>
        <w:jc w:val="center"/>
      </w:pPr>
      <w:r>
        <w:rPr>
          <w:i/>
          <w:iCs/>
        </w:rPr>
        <w:t xml:space="preserve">μ(W</w:t>
      </w:r>
      <w:r>
        <w:rPr>
          <w:vertAlign w:val="subscript"/>
        </w:rPr>
        <w:t xml:space="preserve">i</w:t>
      </w:r>
      <w:r>
        <w:rPr>
          <w:i/>
          <w:iCs/>
        </w:rPr>
        <w:t xml:space="preserve">)  =  | E(W</w:t>
      </w:r>
      <w:r>
        <w:rPr>
          <w:vertAlign w:val="subscript"/>
        </w:rPr>
        <w:t xml:space="preserve">i</w:t>
      </w:r>
      <w:r>
        <w:rPr>
          <w:i/>
          <w:iCs/>
        </w:rPr>
        <w:t xml:space="preserve">) | − | V(W</w:t>
      </w:r>
      <w:r>
        <w:rPr>
          <w:vertAlign w:val="subscript"/>
        </w:rPr>
        <w:t xml:space="preserve">i</w:t>
      </w:r>
      <w:r>
        <w:rPr>
          <w:i/>
          <w:iCs/>
        </w:rPr>
        <w:t xml:space="preserve">) | + 1</w:t>
      </w:r>
    </w:p>
    <w:p>
      <w:pPr>
        <w:spacing w:after="140" w:before="0" w:line="276"/>
        <w:jc w:val="both"/>
      </w:pPr>
      <w:r>
        <w:t xml:space="preserve">Indica cuántos bucles esencialmente distintos exploró el aprendiz, sin contar varias veces el mismo ciclo recorrido repetidamente. Permite distinguir al estudiante que da diez vueltas al mismo bucle, con un número de retornos alto y un número ciclomático igual a uno, del que explora diez bucles diferentes, con ambos valores altos. La diferencia es cognitivamente relevante y el recuento por sí solo no la captura.</w:t>
      </w:r>
    </w:p>
    <w:p>
      <w:pPr>
        <w:spacing w:after="140" w:before="0" w:line="276"/>
        <w:jc w:val="both"/>
      </w:pPr>
      <w:r>
        <w:t xml:space="preserve">Para el nivel y para la sesión se promedian con la misma forma que el trabajo fuente emplea para la buclicidad por experiencia. La tendencia decreciente de esos promedios a lo largo de los intentos constituye, precisamente, la evidencia de aprendizaje que el diseño busca observar.</w:t>
      </w:r>
    </w:p>
    <w:p>
      <w:pPr>
        <w:spacing w:after="140" w:before="0" w:line="276"/>
        <w:jc w:val="both"/>
      </w:pPr>
      <w:r>
        <w:t xml:space="preserve">Importa subrayar un punto ante el jurado: el propio trabajo fuente ya razona en términos de cantidad de bucles, y no solo de tamaño. Afirma que "un novato puede hacer un bucle y percatarse o no", que el experto "puede hacer bucles de diferentes tamaños" y que el jugador "debe reducir el uso de bucles para lograr la solución óptima". Hablar de reducir el uso es hablar de frecuencia. La propuesta no introduce una idea ajena al trabajo fuente: formaliza una que sus autores enuncian en prosa y no llegaron a convertir en ecuación.</w:t>
      </w:r>
    </w:p>
    <w:p>
      <w:pPr>
        <w:pStyle w:val="Heading2"/>
        <w:spacing w:after="110" w:before="240"/>
        <w:jc w:val="left"/>
      </w:pPr>
      <w:r>
        <w:rPr>
          <w:b/>
          <w:bCs/>
          <w:i/>
          <w:iCs/>
          <w:sz w:val="23"/>
          <w:szCs w:val="23"/>
        </w:rPr>
        <w:t xml:space="preserve">7.3. Síntesis de la propuesta</w:t>
      </w:r>
    </w:p>
    <w:tbl>
      <w:tblPr>
        <w:tblW w:type="dxa" w:w="9360"/>
        <w:tblBorders>
          <w:top w:val="single" w:color="000000" w:sz="6"/>
          <w:left w:val="none"/>
          <w:bottom w:val="single" w:color="000000" w:sz="6"/>
          <w:right w:val="none"/>
          <w:insideH w:val="single" w:color="AAAAAA" w:sz="2"/>
          <w:insideV w:val="none"/>
        </w:tblBorders>
      </w:tblPr>
      <w:tblGrid>
        <w:gridCol w:w="2600"/>
        <w:gridCol w:w="3200"/>
        <w:gridCol w:w="3560"/>
      </w:tblGrid>
      <w:tr>
        <w:trPr>
          <w:tblHeader/>
        </w:trPr>
        <w:tc>
          <w:tcPr>
            <w:tcW w:type="dxa" w:w="2600"/>
            <w:shd w:fill="EFEFEF" w:color="auto" w:val="clear"/>
            <w:tcMar>
              <w:top w:type="dxa" w:w="60"/>
              <w:left w:type="dxa" w:w="110"/>
              <w:bottom w:type="dxa" w:w="60"/>
              <w:right w:type="dxa" w:w="110"/>
            </w:tcMar>
          </w:tcPr>
          <w:p>
            <w:pPr>
              <w:spacing w:after="0" w:line="240"/>
              <w:jc w:val="left"/>
            </w:pPr>
            <w:r>
              <w:rPr>
                <w:b/>
                <w:bCs/>
                <w:sz w:val="20"/>
                <w:szCs w:val="20"/>
              </w:rPr>
              <w:t xml:space="preserve">Magnitud</w:t>
            </w:r>
          </w:p>
        </w:tc>
        <w:tc>
          <w:tcPr>
            <w:tcW w:type="dxa" w:w="3200"/>
            <w:shd w:fill="EFEFEF" w:color="auto" w:val="clear"/>
            <w:tcMar>
              <w:top w:type="dxa" w:w="60"/>
              <w:left w:type="dxa" w:w="110"/>
              <w:bottom w:type="dxa" w:w="60"/>
              <w:right w:type="dxa" w:w="110"/>
            </w:tcMar>
          </w:tcPr>
          <w:p>
            <w:pPr>
              <w:spacing w:after="0" w:line="240"/>
              <w:jc w:val="left"/>
            </w:pPr>
            <w:r>
              <w:rPr>
                <w:b/>
                <w:bCs/>
                <w:sz w:val="20"/>
                <w:szCs w:val="20"/>
              </w:rPr>
              <w:t xml:space="preserve">Expresión propuesta</w:t>
            </w:r>
          </w:p>
        </w:tc>
        <w:tc>
          <w:tcPr>
            <w:tcW w:type="dxa" w:w="3560"/>
            <w:shd w:fill="EFEFEF" w:color="auto" w:val="clear"/>
            <w:tcMar>
              <w:top w:type="dxa" w:w="60"/>
              <w:left w:type="dxa" w:w="110"/>
              <w:bottom w:type="dxa" w:w="60"/>
              <w:right w:type="dxa" w:w="110"/>
            </w:tcMar>
          </w:tcPr>
          <w:p>
            <w:pPr>
              <w:spacing w:after="0" w:line="240"/>
              <w:jc w:val="left"/>
            </w:pPr>
            <w:r>
              <w:rPr>
                <w:b/>
                <w:bCs/>
                <w:sz w:val="20"/>
                <w:szCs w:val="20"/>
              </w:rPr>
              <w:t xml:space="preserve">Qué responde</w:t>
            </w:r>
          </w:p>
        </w:tc>
      </w:tr>
      <w:tr>
        <w:tc>
          <w:tcPr>
            <w:tcW w:type="dxa" w:w="2600"/>
            <w:tcMar>
              <w:top w:type="dxa" w:w="60"/>
              <w:left w:type="dxa" w:w="110"/>
              <w:bottom w:type="dxa" w:w="60"/>
              <w:right w:type="dxa" w:w="110"/>
            </w:tcMar>
          </w:tcPr>
          <w:p>
            <w:pPr>
              <w:spacing w:after="0" w:line="240"/>
              <w:jc w:val="left"/>
            </w:pPr>
            <w:r>
              <w:rPr>
                <w:b w:val="false"/>
                <w:bCs w:val="false"/>
                <w:sz w:val="20"/>
                <w:szCs w:val="20"/>
              </w:rPr>
              <w:t xml:space="preserve">Calidad del movimiento</w:t>
            </w:r>
          </w:p>
        </w:tc>
        <w:tc>
          <w:tcPr>
            <w:tcW w:type="dxa" w:w="3200"/>
            <w:tcMar>
              <w:top w:type="dxa" w:w="60"/>
              <w:left w:type="dxa" w:w="110"/>
              <w:bottom w:type="dxa" w:w="60"/>
              <w:right w:type="dxa" w:w="110"/>
            </w:tcMar>
          </w:tcPr>
          <w:p>
            <w:pPr>
              <w:spacing w:after="0" w:line="240"/>
              <w:jc w:val="left"/>
            </w:pPr>
            <w:r>
              <w:rPr>
                <w:i/>
                <w:iCs/>
                <w:sz w:val="20"/>
                <w:szCs w:val="20"/>
              </w:rPr>
              <w:t xml:space="preserve">C</w:t>
            </w:r>
            <w:r>
              <w:rPr>
                <w:i/>
                <w:iCs/>
                <w:sz w:val="20"/>
                <w:szCs w:val="20"/>
                <w:vertAlign w:val="subscript"/>
              </w:rPr>
              <w:t xml:space="preserve">m</w:t>
            </w:r>
            <w:r>
              <w:rPr>
                <w:i/>
                <w:iCs/>
                <w:sz w:val="20"/>
                <w:szCs w:val="20"/>
              </w:rPr>
              <w:t xml:space="preserve"> = | 1 − d(s</w:t>
            </w:r>
            <w:r>
              <w:rPr>
                <w:i/>
                <w:iCs/>
                <w:sz w:val="20"/>
                <w:szCs w:val="20"/>
                <w:vertAlign w:val="subscript"/>
              </w:rPr>
              <w:t xml:space="preserve">k</w:t>
            </w:r>
            <w:r>
              <w:rPr>
                <w:i/>
                <w:iCs/>
                <w:sz w:val="20"/>
                <w:szCs w:val="20"/>
              </w:rPr>
              <w:t xml:space="preserve">) / (d(s</w:t>
            </w:r>
            <w:r>
              <w:rPr>
                <w:i/>
                <w:iCs/>
                <w:sz w:val="20"/>
                <w:szCs w:val="20"/>
                <w:vertAlign w:val="subscript"/>
              </w:rPr>
              <w:t xml:space="preserve">k−1</w:t>
            </w:r>
            <w:r>
              <w:rPr>
                <w:i/>
                <w:iCs/>
                <w:sz w:val="20"/>
                <w:szCs w:val="20"/>
              </w:rPr>
              <w:t xml:space="preserve">) − 1) |</w:t>
            </w:r>
          </w:p>
        </w:tc>
        <w:tc>
          <w:tcPr>
            <w:tcW w:type="dxa" w:w="3560"/>
            <w:tcMar>
              <w:top w:type="dxa" w:w="60"/>
              <w:left w:type="dxa" w:w="110"/>
              <w:bottom w:type="dxa" w:w="60"/>
              <w:right w:type="dxa" w:w="110"/>
            </w:tcMar>
          </w:tcPr>
          <w:p>
            <w:pPr>
              <w:spacing w:after="0" w:line="240"/>
              <w:jc w:val="left"/>
            </w:pPr>
            <w:r>
              <w:rPr>
                <w:b w:val="false"/>
                <w:bCs w:val="false"/>
                <w:sz w:val="20"/>
                <w:szCs w:val="20"/>
              </w:rPr>
              <w:t xml:space="preserve">¿Fue óptima esta decisión concreta?</w:t>
            </w:r>
          </w:p>
        </w:tc>
      </w:tr>
      <w:tr>
        <w:tc>
          <w:tcPr>
            <w:tcW w:type="dxa" w:w="2600"/>
            <w:tcMar>
              <w:top w:type="dxa" w:w="60"/>
              <w:left w:type="dxa" w:w="110"/>
              <w:bottom w:type="dxa" w:w="60"/>
              <w:right w:type="dxa" w:w="110"/>
            </w:tcMar>
          </w:tcPr>
          <w:p>
            <w:pPr>
              <w:spacing w:after="0" w:line="240"/>
              <w:jc w:val="left"/>
            </w:pPr>
            <w:r>
              <w:rPr>
                <w:b w:val="false"/>
                <w:bCs w:val="false"/>
                <w:sz w:val="20"/>
                <w:szCs w:val="20"/>
              </w:rPr>
              <w:t xml:space="preserve">Ramificación por intento</w:t>
            </w:r>
          </w:p>
        </w:tc>
        <w:tc>
          <w:tcPr>
            <w:tcW w:type="dxa" w:w="3200"/>
            <w:tcMar>
              <w:top w:type="dxa" w:w="60"/>
              <w:left w:type="dxa" w:w="110"/>
              <w:bottom w:type="dxa" w:w="60"/>
              <w:right w:type="dxa" w:w="110"/>
            </w:tcMar>
          </w:tcPr>
          <w:p>
            <w:pPr>
              <w:spacing w:after="0" w:line="240"/>
              <w:jc w:val="left"/>
            </w:pPr>
            <w:r>
              <w:rPr>
                <w:i/>
                <w:iCs/>
                <w:sz w:val="20"/>
                <w:szCs w:val="20"/>
              </w:rPr>
              <w:t xml:space="preserve">R</w:t>
            </w:r>
            <w:r>
              <w:rPr>
                <w:i/>
                <w:iCs/>
                <w:sz w:val="20"/>
                <w:szCs w:val="20"/>
                <w:vertAlign w:val="subscript"/>
              </w:rPr>
              <w:t xml:space="preserve">i</w:t>
            </w:r>
            <w:r>
              <w:rPr>
                <w:i/>
                <w:iCs/>
                <w:sz w:val="20"/>
                <w:szCs w:val="20"/>
              </w:rPr>
              <w:t xml:space="preserve"> = Σ C</w:t>
            </w:r>
            <w:r>
              <w:rPr>
                <w:i/>
                <w:iCs/>
                <w:sz w:val="20"/>
                <w:szCs w:val="20"/>
                <w:vertAlign w:val="subscript"/>
              </w:rPr>
              <w:t xml:space="preserve">m</w:t>
            </w:r>
          </w:p>
        </w:tc>
        <w:tc>
          <w:tcPr>
            <w:tcW w:type="dxa" w:w="3560"/>
            <w:tcMar>
              <w:top w:type="dxa" w:w="60"/>
              <w:left w:type="dxa" w:w="110"/>
              <w:bottom w:type="dxa" w:w="60"/>
              <w:right w:type="dxa" w:w="110"/>
            </w:tcMar>
          </w:tcPr>
          <w:p>
            <w:pPr>
              <w:spacing w:after="0" w:line="240"/>
              <w:jc w:val="left"/>
            </w:pPr>
            <w:r>
              <w:rPr>
                <w:b w:val="false"/>
                <w:bCs w:val="false"/>
                <w:sz w:val="20"/>
                <w:szCs w:val="20"/>
              </w:rPr>
              <w:t xml:space="preserve">¿Cuánta desviación acumuló el intento?</w:t>
            </w:r>
          </w:p>
        </w:tc>
      </w:tr>
      <w:tr>
        <w:tc>
          <w:tcPr>
            <w:tcW w:type="dxa" w:w="2600"/>
            <w:tcMar>
              <w:top w:type="dxa" w:w="60"/>
              <w:left w:type="dxa" w:w="110"/>
              <w:bottom w:type="dxa" w:w="60"/>
              <w:right w:type="dxa" w:w="110"/>
            </w:tcMar>
          </w:tcPr>
          <w:p>
            <w:pPr>
              <w:spacing w:after="0" w:line="240"/>
              <w:jc w:val="left"/>
            </w:pPr>
            <w:r>
              <w:rPr>
                <w:b w:val="false"/>
                <w:bCs w:val="false"/>
                <w:sz w:val="20"/>
                <w:szCs w:val="20"/>
              </w:rPr>
              <w:t xml:space="preserve">Exceso de movimientos</w:t>
            </w:r>
          </w:p>
        </w:tc>
        <w:tc>
          <w:tcPr>
            <w:tcW w:type="dxa" w:w="3200"/>
            <w:tcMar>
              <w:top w:type="dxa" w:w="60"/>
              <w:left w:type="dxa" w:w="110"/>
              <w:bottom w:type="dxa" w:w="60"/>
              <w:right w:type="dxa" w:w="110"/>
            </w:tcMar>
          </w:tcPr>
          <w:p>
            <w:pPr>
              <w:spacing w:after="0" w:line="240"/>
              <w:jc w:val="left"/>
            </w:pPr>
            <w:r>
              <w:rPr>
                <w:i/>
                <w:iCs/>
                <w:sz w:val="20"/>
                <w:szCs w:val="20"/>
              </w:rPr>
              <w:t xml:space="preserve">L</w:t>
            </w:r>
            <w:r>
              <w:rPr>
                <w:i/>
                <w:iCs/>
                <w:sz w:val="20"/>
                <w:szCs w:val="20"/>
                <w:vertAlign w:val="subscript"/>
              </w:rPr>
              <w:t xml:space="preserve">i</w:t>
            </w:r>
            <w:r>
              <w:rPr>
                <w:i/>
                <w:iCs/>
                <w:sz w:val="20"/>
                <w:szCs w:val="20"/>
              </w:rPr>
              <w:t xml:space="preserve"> − D</w:t>
            </w:r>
            <w:r>
              <w:rPr>
                <w:i/>
                <w:iCs/>
                <w:sz w:val="20"/>
                <w:szCs w:val="20"/>
                <w:vertAlign w:val="subscript"/>
              </w:rPr>
              <w:t xml:space="preserve">mín</w:t>
            </w:r>
          </w:p>
        </w:tc>
        <w:tc>
          <w:tcPr>
            <w:tcW w:type="dxa" w:w="3560"/>
            <w:tcMar>
              <w:top w:type="dxa" w:w="60"/>
              <w:left w:type="dxa" w:w="110"/>
              <w:bottom w:type="dxa" w:w="60"/>
              <w:right w:type="dxa" w:w="110"/>
            </w:tcMar>
          </w:tcPr>
          <w:p>
            <w:pPr>
              <w:spacing w:after="0" w:line="240"/>
              <w:jc w:val="left"/>
            </w:pPr>
            <w:r>
              <w:rPr>
                <w:b w:val="false"/>
                <w:bCs w:val="false"/>
                <w:sz w:val="20"/>
                <w:szCs w:val="20"/>
              </w:rPr>
              <w:t xml:space="preserve">¿Cuántos movimientos de más hizo?</w:t>
            </w:r>
          </w:p>
        </w:tc>
      </w:tr>
      <w:tr>
        <w:tc>
          <w:tcPr>
            <w:tcW w:type="dxa" w:w="2600"/>
            <w:tcMar>
              <w:top w:type="dxa" w:w="60"/>
              <w:left w:type="dxa" w:w="110"/>
              <w:bottom w:type="dxa" w:w="60"/>
              <w:right w:type="dxa" w:w="110"/>
            </w:tcMar>
          </w:tcPr>
          <w:p>
            <w:pPr>
              <w:spacing w:after="0" w:line="240"/>
              <w:jc w:val="left"/>
            </w:pPr>
            <w:r>
              <w:rPr>
                <w:b w:val="false"/>
                <w:bCs w:val="false"/>
                <w:sz w:val="20"/>
                <w:szCs w:val="20"/>
              </w:rPr>
              <w:t xml:space="preserve">Decisiones de bifurcación fallidas</w:t>
            </w:r>
          </w:p>
        </w:tc>
        <w:tc>
          <w:tcPr>
            <w:tcW w:type="dxa" w:w="3200"/>
            <w:tcMar>
              <w:top w:type="dxa" w:w="60"/>
              <w:left w:type="dxa" w:w="110"/>
              <w:bottom w:type="dxa" w:w="60"/>
              <w:right w:type="dxa" w:w="110"/>
            </w:tcMar>
          </w:tcPr>
          <w:p>
            <w:pPr>
              <w:spacing w:after="0" w:line="240"/>
              <w:jc w:val="left"/>
            </w:pPr>
            <w:r>
              <w:rPr>
                <w:b w:val="false"/>
                <w:bCs w:val="false"/>
                <w:sz w:val="20"/>
                <w:szCs w:val="20"/>
              </w:rPr>
              <w:t xml:space="preserve">Nº de vértices de grado ≥ 3 en los que no se acercó a la meta</w:t>
            </w:r>
          </w:p>
        </w:tc>
        <w:tc>
          <w:tcPr>
            <w:tcW w:type="dxa" w:w="3560"/>
            <w:tcMar>
              <w:top w:type="dxa" w:w="60"/>
              <w:left w:type="dxa" w:w="110"/>
              <w:bottom w:type="dxa" w:w="60"/>
              <w:right w:type="dxa" w:w="110"/>
            </w:tcMar>
          </w:tcPr>
          <w:p>
            <w:pPr>
              <w:spacing w:after="0" w:line="240"/>
              <w:jc w:val="left"/>
            </w:pPr>
            <w:r>
              <w:rPr>
                <w:b w:val="false"/>
                <w:bCs w:val="false"/>
                <w:sz w:val="20"/>
                <w:szCs w:val="20"/>
              </w:rPr>
              <w:t xml:space="preserve">¿En cuántos puntos críticos se equivocó?</w:t>
            </w:r>
          </w:p>
        </w:tc>
      </w:tr>
      <w:tr>
        <w:tc>
          <w:tcPr>
            <w:tcW w:type="dxa" w:w="2600"/>
            <w:tcMar>
              <w:top w:type="dxa" w:w="60"/>
              <w:left w:type="dxa" w:w="110"/>
              <w:bottom w:type="dxa" w:w="60"/>
              <w:right w:type="dxa" w:w="110"/>
            </w:tcMar>
          </w:tcPr>
          <w:p>
            <w:pPr>
              <w:spacing w:after="0" w:line="240"/>
              <w:jc w:val="left"/>
            </w:pPr>
            <w:r>
              <w:rPr>
                <w:b w:val="false"/>
                <w:bCs w:val="false"/>
                <w:sz w:val="20"/>
                <w:szCs w:val="20"/>
              </w:rPr>
              <w:t xml:space="preserve">Tamaño de bucle de referencia</w:t>
            </w:r>
          </w:p>
        </w:tc>
        <w:tc>
          <w:tcPr>
            <w:tcW w:type="dxa" w:w="3200"/>
            <w:tcMar>
              <w:top w:type="dxa" w:w="60"/>
              <w:left w:type="dxa" w:w="110"/>
              <w:bottom w:type="dxa" w:w="60"/>
              <w:right w:type="dxa" w:w="110"/>
            </w:tcMar>
          </w:tcPr>
          <w:p>
            <w:pPr>
              <w:spacing w:after="0" w:line="240"/>
              <w:jc w:val="left"/>
            </w:pPr>
            <w:r>
              <w:rPr>
                <w:i/>
                <w:iCs/>
                <w:sz w:val="20"/>
                <w:szCs w:val="20"/>
              </w:rPr>
              <w:t xml:space="preserve">B</w:t>
            </w:r>
            <w:r>
              <w:rPr>
                <w:i/>
                <w:iCs/>
                <w:sz w:val="20"/>
                <w:szCs w:val="20"/>
                <w:vertAlign w:val="subscript"/>
              </w:rPr>
              <w:t xml:space="preserve">i</w:t>
            </w:r>
            <w:r>
              <w:rPr>
                <w:i/>
                <w:iCs/>
                <w:sz w:val="20"/>
                <w:szCs w:val="20"/>
              </w:rPr>
              <w:t xml:space="preserve"> = n²/2 + 2n + C</w:t>
            </w:r>
            <w:r>
              <w:rPr>
                <w:sz w:val="20"/>
                <w:szCs w:val="20"/>
              </w:rPr>
              <w:t xml:space="preserve">  (sin cambios)</w:t>
            </w:r>
          </w:p>
        </w:tc>
        <w:tc>
          <w:tcPr>
            <w:tcW w:type="dxa" w:w="3560"/>
            <w:tcMar>
              <w:top w:type="dxa" w:w="60"/>
              <w:left w:type="dxa" w:w="110"/>
              <w:bottom w:type="dxa" w:w="60"/>
              <w:right w:type="dxa" w:w="110"/>
            </w:tcMar>
          </w:tcPr>
          <w:p>
            <w:pPr>
              <w:spacing w:after="0" w:line="240"/>
              <w:jc w:val="left"/>
            </w:pPr>
            <w:r>
              <w:rPr>
                <w:b w:val="false"/>
                <w:bCs w:val="false"/>
                <w:sz w:val="20"/>
                <w:szCs w:val="20"/>
              </w:rPr>
              <w:t xml:space="preserve">¿Cuánto debería medir un bucle completo?</w:t>
            </w:r>
          </w:p>
        </w:tc>
      </w:tr>
      <w:tr>
        <w:tc>
          <w:tcPr>
            <w:tcW w:type="dxa" w:w="2600"/>
            <w:tcMar>
              <w:top w:type="dxa" w:w="60"/>
              <w:left w:type="dxa" w:w="110"/>
              <w:bottom w:type="dxa" w:w="60"/>
              <w:right w:type="dxa" w:w="110"/>
            </w:tcMar>
          </w:tcPr>
          <w:p>
            <w:pPr>
              <w:spacing w:after="0" w:line="240"/>
              <w:jc w:val="left"/>
            </w:pPr>
            <w:r>
              <w:rPr>
                <w:b w:val="false"/>
                <w:bCs w:val="false"/>
                <w:sz w:val="20"/>
                <w:szCs w:val="20"/>
              </w:rPr>
              <w:t xml:space="preserve">Retornos</w:t>
            </w:r>
          </w:p>
        </w:tc>
        <w:tc>
          <w:tcPr>
            <w:tcW w:type="dxa" w:w="3200"/>
            <w:tcMar>
              <w:top w:type="dxa" w:w="60"/>
              <w:left w:type="dxa" w:w="110"/>
              <w:bottom w:type="dxa" w:w="60"/>
              <w:right w:type="dxa" w:w="110"/>
            </w:tcMar>
          </w:tcPr>
          <w:p>
            <w:pPr>
              <w:spacing w:after="0" w:line="240"/>
              <w:jc w:val="left"/>
            </w:pPr>
            <w:r>
              <w:rPr>
                <w:i/>
                <w:iCs/>
                <w:sz w:val="20"/>
                <w:szCs w:val="20"/>
              </w:rPr>
              <w:t xml:space="preserve">ν</w:t>
            </w:r>
            <w:r>
              <w:rPr>
                <w:i/>
                <w:iCs/>
                <w:sz w:val="20"/>
                <w:szCs w:val="20"/>
                <w:vertAlign w:val="subscript"/>
              </w:rPr>
              <w:t xml:space="preserve">i</w:t>
            </w:r>
            <w:r>
              <w:rPr>
                <w:i/>
                <w:iCs/>
                <w:sz w:val="20"/>
                <w:szCs w:val="20"/>
              </w:rPr>
              <w:t xml:space="preserve"> = (L</w:t>
            </w:r>
            <w:r>
              <w:rPr>
                <w:i/>
                <w:iCs/>
                <w:sz w:val="20"/>
                <w:szCs w:val="20"/>
                <w:vertAlign w:val="subscript"/>
              </w:rPr>
              <w:t xml:space="preserve">i</w:t>
            </w:r>
            <w:r>
              <w:rPr>
                <w:i/>
                <w:iCs/>
                <w:sz w:val="20"/>
                <w:szCs w:val="20"/>
              </w:rPr>
              <w:t xml:space="preserve"> + 1) − |V(W</w:t>
            </w:r>
            <w:r>
              <w:rPr>
                <w:i/>
                <w:iCs/>
                <w:sz w:val="20"/>
                <w:szCs w:val="20"/>
                <w:vertAlign w:val="subscript"/>
              </w:rPr>
              <w:t xml:space="preserve">i</w:t>
            </w:r>
            <w:r>
              <w:rPr>
                <w:i/>
                <w:iCs/>
                <w:sz w:val="20"/>
                <w:szCs w:val="20"/>
              </w:rPr>
              <w:t xml:space="preserve">)|</w:t>
            </w:r>
          </w:p>
        </w:tc>
        <w:tc>
          <w:tcPr>
            <w:tcW w:type="dxa" w:w="3560"/>
            <w:tcMar>
              <w:top w:type="dxa" w:w="60"/>
              <w:left w:type="dxa" w:w="110"/>
              <w:bottom w:type="dxa" w:w="60"/>
              <w:right w:type="dxa" w:w="110"/>
            </w:tcMar>
          </w:tcPr>
          <w:p>
            <w:pPr>
              <w:spacing w:after="0" w:line="240"/>
              <w:jc w:val="left"/>
            </w:pPr>
            <w:r>
              <w:rPr>
                <w:b w:val="false"/>
                <w:bCs w:val="false"/>
                <w:sz w:val="20"/>
                <w:szCs w:val="20"/>
              </w:rPr>
              <w:t xml:space="preserve">¿Cuántas veces volvió a un estado ya visitado?</w:t>
            </w:r>
          </w:p>
        </w:tc>
      </w:tr>
      <w:tr>
        <w:tc>
          <w:tcPr>
            <w:tcW w:type="dxa" w:w="2600"/>
            <w:tcMar>
              <w:top w:type="dxa" w:w="60"/>
              <w:left w:type="dxa" w:w="110"/>
              <w:bottom w:type="dxa" w:w="60"/>
              <w:right w:type="dxa" w:w="110"/>
            </w:tcMar>
          </w:tcPr>
          <w:p>
            <w:pPr>
              <w:spacing w:after="0" w:line="240"/>
              <w:jc w:val="left"/>
            </w:pPr>
            <w:r>
              <w:rPr>
                <w:b w:val="false"/>
                <w:bCs w:val="false"/>
                <w:sz w:val="20"/>
                <w:szCs w:val="20"/>
              </w:rPr>
              <w:t xml:space="preserve">Ciclos independientes</w:t>
            </w:r>
          </w:p>
        </w:tc>
        <w:tc>
          <w:tcPr>
            <w:tcW w:type="dxa" w:w="3200"/>
            <w:tcMar>
              <w:top w:type="dxa" w:w="60"/>
              <w:left w:type="dxa" w:w="110"/>
              <w:bottom w:type="dxa" w:w="60"/>
              <w:right w:type="dxa" w:w="110"/>
            </w:tcMar>
          </w:tcPr>
          <w:p>
            <w:pPr>
              <w:spacing w:after="0" w:line="240"/>
              <w:jc w:val="left"/>
            </w:pPr>
            <w:r>
              <w:rPr>
                <w:i/>
                <w:iCs/>
                <w:sz w:val="20"/>
                <w:szCs w:val="20"/>
              </w:rPr>
              <w:t xml:space="preserve">μ</w:t>
            </w:r>
            <w:r>
              <w:rPr>
                <w:i/>
                <w:iCs/>
                <w:sz w:val="20"/>
                <w:szCs w:val="20"/>
                <w:vertAlign w:val="subscript"/>
              </w:rPr>
              <w:t xml:space="preserve">i</w:t>
            </w:r>
            <w:r>
              <w:rPr>
                <w:i/>
                <w:iCs/>
                <w:sz w:val="20"/>
                <w:szCs w:val="20"/>
              </w:rPr>
              <w:t xml:space="preserve"> = |E(W</w:t>
            </w:r>
            <w:r>
              <w:rPr>
                <w:i/>
                <w:iCs/>
                <w:sz w:val="20"/>
                <w:szCs w:val="20"/>
                <w:vertAlign w:val="subscript"/>
              </w:rPr>
              <w:t xml:space="preserve">i</w:t>
            </w:r>
            <w:r>
              <w:rPr>
                <w:i/>
                <w:iCs/>
                <w:sz w:val="20"/>
                <w:szCs w:val="20"/>
              </w:rPr>
              <w:t xml:space="preserve">)| − |V(W</w:t>
            </w:r>
            <w:r>
              <w:rPr>
                <w:i/>
                <w:iCs/>
                <w:sz w:val="20"/>
                <w:szCs w:val="20"/>
                <w:vertAlign w:val="subscript"/>
              </w:rPr>
              <w:t xml:space="preserve">i</w:t>
            </w:r>
            <w:r>
              <w:rPr>
                <w:i/>
                <w:iCs/>
                <w:sz w:val="20"/>
                <w:szCs w:val="20"/>
              </w:rPr>
              <w:t xml:space="preserve">)| + 1</w:t>
            </w:r>
          </w:p>
        </w:tc>
        <w:tc>
          <w:tcPr>
            <w:tcW w:type="dxa" w:w="3560"/>
            <w:tcMar>
              <w:top w:type="dxa" w:w="60"/>
              <w:left w:type="dxa" w:w="110"/>
              <w:bottom w:type="dxa" w:w="60"/>
              <w:right w:type="dxa" w:w="110"/>
            </w:tcMar>
          </w:tcPr>
          <w:p>
            <w:pPr>
              <w:spacing w:after="0" w:line="240"/>
              <w:jc w:val="left"/>
            </w:pPr>
            <w:r>
              <w:rPr>
                <w:b w:val="false"/>
                <w:bCs w:val="false"/>
                <w:sz w:val="20"/>
                <w:szCs w:val="20"/>
              </w:rPr>
              <w:t xml:space="preserve">¿Cuántos bucles distintos exploró?</w:t>
            </w:r>
          </w:p>
        </w:tc>
      </w:tr>
    </w:tbl>
    <w:p>
      <w:pPr>
        <w:spacing w:after="220" w:before="90"/>
        <w:jc w:val="left"/>
      </w:pPr>
      <w:r>
        <w:rPr>
          <w:sz w:val="19"/>
          <w:szCs w:val="19"/>
        </w:rPr>
        <w:t xml:space="preserve">Tabla 5. Conjunto consolidado de métricas propuestas. Solo la primera modifica algo de lo heredado, y únicamente en la precisión de su denominador.</w:t>
      </w:r>
    </w:p>
    <w:p>
      <w:pPr>
        <w:pStyle w:val="Heading2"/>
        <w:spacing w:after="110" w:before="240"/>
        <w:jc w:val="left"/>
      </w:pPr>
      <w:r>
        <w:rPr>
          <w:b/>
          <w:bCs/>
          <w:i/>
          <w:iCs/>
          <w:sz w:val="23"/>
          <w:szCs w:val="23"/>
        </w:rPr>
        <w:t xml:space="preserve">7.4. Informes previstos</w:t>
      </w:r>
    </w:p>
    <w:p>
      <w:pPr>
        <w:spacing w:after="140" w:before="0" w:line="276"/>
        <w:jc w:val="both"/>
      </w:pPr>
      <w:r>
        <w:t xml:space="preserve">Una vez acordadas las definiciones, la aplicación calculará las métricas en tiempo real y generará dos informes. Al terminar cada intento, de forma automática: resultado, duración, movimientos realizados, exceso sobre la ruta óptima, retornos y su tamaño, ciclos independientes, errores por tipo de regla infringida y puntos críticos en los que hubo desviación. Y un informe de sesión, bajo demanda mediante un botón que el operador acciona cuando decide cerrarla, con la tabla de todos los intentos, los promedios por experiencia, su tendencia y la exportación de los datos para el análisis posterior. Se implementará primero en las pestañas de simulación y después en el control con los cubos físicos.</w:t>
      </w:r>
    </w:p>
    <w:p>
      <w:pPr>
        <w:pStyle w:val="Heading1"/>
        <w:spacing w:after="160" w:before="360"/>
        <w:jc w:val="left"/>
      </w:pPr>
      <w:r>
        <w:rPr>
          <w:b/>
          <w:bCs/>
          <w:sz w:val="26"/>
          <w:szCs w:val="26"/>
        </w:rPr>
        <w:t xml:space="preserve">8. Preguntas para avanzar</w:t>
      </w:r>
    </w:p>
    <w:p>
      <w:pPr>
        <w:spacing w:after="140" w:before="0" w:line="276"/>
        <w:jc w:val="both"/>
      </w:pPr>
      <w:r>
        <w:t xml:space="preserve">Se someten a su consideración las siguientes decisiones:</w:t>
      </w:r>
    </w:p>
    <w:p>
      <w:pPr>
        <w:spacing w:after="140" w:line="276"/>
        <w:ind w:left="360" w:hanging="360"/>
        <w:jc w:val="both"/>
      </w:pPr>
      <w:r>
        <w:rPr>
          <w:b/>
          <w:bCs/>
        </w:rPr>
        <w:t xml:space="preserve">1. </w:t>
      </w:r>
      <w:r>
        <w:rPr>
          <w:b/>
          <w:bCs/>
        </w:rPr>
        <w:t xml:space="preserve">Calidad del movimiento. </w:t>
      </w:r>
      <w:r>
        <w:t xml:space="preserve">¿Se adopta la opción A, en la que el denominador es el óptimo alcanzable en ese movimiento, por ser la que conserva la forma de la ecuación del trabajo fuente y hace verdadera la interpretación ya escrita en la tesis? ¿Y se acepta la convención propuesta para el último movimiento?</w:t>
      </w:r>
    </w:p>
    <w:p>
      <w:pPr>
        <w:spacing w:after="140" w:line="276"/>
        <w:ind w:left="360" w:hanging="360"/>
        <w:jc w:val="both"/>
      </w:pPr>
      <w:r>
        <w:rPr>
          <w:b/>
          <w:bCs/>
        </w:rPr>
        <w:t xml:space="preserve">2. </w:t>
      </w:r>
      <w:r>
        <w:rPr>
          <w:b/>
          <w:bCs/>
        </w:rPr>
        <w:t xml:space="preserve">Notación. </w:t>
      </w:r>
      <w:r>
        <w:t xml:space="preserve">¿Se emplean símbolos distintos para la ruta óptima global (n² + 2n) y para la distancia local hasta la meta, que hoy comparten el nombre D mín?</w:t>
      </w:r>
    </w:p>
    <w:p>
      <w:pPr>
        <w:spacing w:after="140" w:line="276"/>
        <w:ind w:left="360" w:hanging="360"/>
        <w:jc w:val="both"/>
      </w:pPr>
      <w:r>
        <w:rPr>
          <w:b/>
          <w:bCs/>
        </w:rPr>
        <w:t xml:space="preserve">3. </w:t>
      </w:r>
      <w:r>
        <w:rPr>
          <w:b/>
          <w:bCs/>
        </w:rPr>
        <w:t xml:space="preserve">Buclicidad. </w:t>
      </w:r>
      <w:r>
        <w:t xml:space="preserve">¿Se conserva la ecuación heredada como valor de referencia del tamaño de un bucle y se añaden el recuento de retornos y el número ciclomático como magnitudes medidas sobre el recorrido del aprendiz?</w:t>
      </w:r>
    </w:p>
    <w:p>
      <w:pPr>
        <w:spacing w:after="200" w:line="276"/>
        <w:ind w:left="360" w:hanging="360"/>
        <w:jc w:val="both"/>
      </w:pPr>
      <w:r>
        <w:rPr>
          <w:b/>
          <w:bCs/>
        </w:rPr>
        <w:t xml:space="preserve">4. </w:t>
      </w:r>
      <w:r>
        <w:rPr>
          <w:b/>
          <w:bCs/>
        </w:rPr>
        <w:t xml:space="preserve">Bibliografía. </w:t>
      </w:r>
      <w:r>
        <w:t xml:space="preserve">¿Se incorporan Hinz (2012) como respaldo del uso del grafo de estados en tareas de transformación, y Kirchhoff (1847) junto con McCabe (1976) como fundamento del número ciclomático?</w:t>
      </w:r>
    </w:p>
    <w:p>
      <w:pPr>
        <w:spacing w:after="140" w:before="0" w:line="276"/>
        <w:jc w:val="both"/>
      </w:pPr>
      <w:r>
        <w:t xml:space="preserve">Hay además un detalle de edición que conviene resolver: el documento de tesis contiene una sección duplicada, titulada "Métricas para analizar las trayectorias", que solo incluye dos ecuaciones sueltas sin texto, inmediatamente antes de la sección completa. Parece un resto de una versión anterior y se propone eliminarla.</w:t>
      </w:r>
    </w:p>
    <w:p>
      <w:pPr>
        <w:pStyle w:val="Heading1"/>
        <w:spacing w:after="160" w:before="360"/>
        <w:jc w:val="left"/>
      </w:pPr>
      <w:r>
        <w:rPr>
          <w:b/>
          <w:bCs/>
          <w:sz w:val="26"/>
          <w:szCs w:val="26"/>
        </w:rPr>
        <w:t xml:space="preserve">9. Referencias</w:t>
      </w:r>
    </w:p>
    <w:p>
      <w:pPr>
        <w:spacing w:after="120" w:line="252"/>
        <w:ind w:left="480" w:hanging="480"/>
        <w:jc w:val="both"/>
      </w:pPr>
      <w:r>
        <w:rPr>
          <w:sz w:val="21"/>
          <w:szCs w:val="21"/>
        </w:rPr>
        <w:t xml:space="preserve">Diestel, R. (2017). Graph theory (5.ª ed.). Springer.</w:t>
      </w:r>
    </w:p>
    <w:p>
      <w:pPr>
        <w:spacing w:after="120" w:line="252"/>
        <w:ind w:left="480" w:hanging="480"/>
        <w:jc w:val="both"/>
      </w:pPr>
      <w:r>
        <w:rPr>
          <w:sz w:val="21"/>
          <w:szCs w:val="21"/>
        </w:rPr>
        <w:t xml:space="preserve">Dijkstra, E. W. (1959). A note on two problems in connexion with graphs. Numerische Mathematik, 1, 269–271.</w:t>
      </w:r>
    </w:p>
    <w:p>
      <w:pPr>
        <w:spacing w:after="120" w:line="252"/>
        <w:ind w:left="480" w:hanging="480"/>
        <w:jc w:val="both"/>
      </w:pPr>
      <w:r>
        <w:rPr>
          <w:sz w:val="21"/>
          <w:szCs w:val="21"/>
        </w:rPr>
        <w:t xml:space="preserve">Hinz, A. M. (2012). Graph theory of tower tasks. Behavioural Neurology, 25(1), 13–22. https://doi.org/10.3233/BEN-2012-0345</w:t>
      </w:r>
    </w:p>
    <w:p>
      <w:pPr>
        <w:spacing w:after="120" w:line="252"/>
        <w:ind w:left="480" w:hanging="480"/>
        <w:jc w:val="both"/>
      </w:pPr>
      <w:r>
        <w:rPr>
          <w:sz w:val="21"/>
          <w:szCs w:val="21"/>
        </w:rPr>
        <w:t xml:space="preserve">Hinz, A. M., Klavžar, S., y Petr, C. (2018). The Tower of Hanoi – Myths and Maths (2.ª ed.). Springer.</w:t>
      </w:r>
    </w:p>
    <w:p>
      <w:pPr>
        <w:spacing w:after="120" w:line="252"/>
        <w:ind w:left="480" w:hanging="480"/>
        <w:jc w:val="both"/>
      </w:pPr>
      <w:r>
        <w:rPr>
          <w:sz w:val="21"/>
          <w:szCs w:val="21"/>
        </w:rPr>
        <w:t xml:space="preserve">Johnsonbaugh, R. (2005). Matemáticas discretas (6.ª ed.). Pearson Educación.</w:t>
      </w:r>
    </w:p>
    <w:p>
      <w:pPr>
        <w:spacing w:after="120" w:line="252"/>
        <w:ind w:left="480" w:hanging="480"/>
        <w:jc w:val="both"/>
      </w:pPr>
      <w:r>
        <w:rPr>
          <w:sz w:val="21"/>
          <w:szCs w:val="21"/>
        </w:rPr>
        <w:t xml:space="preserve">Kirchhoff, G. (1847). Über die Auflösung der Gleichungen, auf welche man bei der Untersuchung der linearen Verteilung galvanischer Ströme geführt wird. Annalen der Physik und Chemie, 72(12), 497–508.</w:t>
      </w:r>
    </w:p>
    <w:p>
      <w:pPr>
        <w:spacing w:after="120" w:line="252"/>
        <w:ind w:left="480" w:hanging="480"/>
        <w:jc w:val="both"/>
      </w:pPr>
      <w:r>
        <w:rPr>
          <w:sz w:val="21"/>
          <w:szCs w:val="21"/>
        </w:rPr>
        <w:t xml:space="preserve">Liévano Chaparro, L. P., y Molina Monguí, R. R. (2022). Análisis de las trayectorias de aprendizaje del juego La Escalera [Trabajo de grado, Maestría en Educación en Tecnología]. Universidad Distrital Francisco José de Caldas.</w:t>
      </w:r>
    </w:p>
    <w:p>
      <w:pPr>
        <w:spacing w:after="120" w:line="252"/>
        <w:ind w:left="480" w:hanging="480"/>
        <w:jc w:val="both"/>
      </w:pPr>
      <w:r>
        <w:rPr>
          <w:sz w:val="21"/>
          <w:szCs w:val="21"/>
        </w:rPr>
        <w:t xml:space="preserve">McCabe, T. J. (1976). A complexity measure. IEEE Transactions on Software Engineering, SE-2(4), 308–320.</w:t>
      </w:r>
    </w:p>
    <w:p>
      <w:pPr>
        <w:spacing w:after="120" w:line="252"/>
        <w:ind w:left="480" w:hanging="480"/>
        <w:jc w:val="both"/>
      </w:pPr>
      <w:r>
        <w:rPr>
          <w:sz w:val="21"/>
          <w:szCs w:val="21"/>
        </w:rPr>
        <w:t xml:space="preserve">Newell, A., y Simon, H. A. (1972). Human problem solving. Prentice-Hall.</w:t>
      </w:r>
    </w:p>
    <w:p>
      <w:pPr>
        <w:spacing w:after="120" w:line="252"/>
        <w:ind w:left="480" w:hanging="480"/>
        <w:jc w:val="both"/>
      </w:pPr>
      <w:r>
        <w:rPr>
          <w:sz w:val="21"/>
          <w:szCs w:val="21"/>
        </w:rPr>
        <w:t xml:space="preserve">Russell, S., y Norvig, P. (2021). Artificial intelligence: A modern approach (4.ª ed.). Pearson.</w:t>
      </w:r>
    </w:p>
    <w:p>
      <w:pPr>
        <w:spacing w:before="200" w:line="252"/>
        <w:jc w:val="both"/>
      </w:pPr>
      <w:r>
        <w:rPr>
          <w:i/>
          <w:iCs/>
          <w:sz w:val="19"/>
          <w:szCs w:val="19"/>
        </w:rPr>
        <w:t xml:space="preserve">Nota sobre la verificación bibliográfica: las referencias de Hinz (2012), Kirchhoff (1847) y McCabe (1976) se contrastaron en varias fuentes independientes al preparar este documento. Las obras de Diestel, Newell y Simon, y Russell y Norvig son estándar y de uso corriente, pero conviene confirmar edición y paginación antes de incorporarlas a la bibliografía definitiva.</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140" w:line="276"/>
        <w:jc w:val="both"/>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6"/>
      <w:szCs w:val="26"/>
    </w:rPr>
  </w:style>
  <w:style w:type="paragraph" w:styleId="Heading2">
    <w:name w:val="Heading 2"/>
    <w:basedOn w:val="Normal"/>
    <w:next w:val="Normal"/>
    <w:qFormat/>
    <w:rPr>
      <w:rFonts w:ascii="Times New Roman" w:cs="Times New Roman" w:eastAsia="Times New Roman" w:hAnsi="Times New Roman"/>
      <w:b/>
      <w:bCs/>
      <w:i/>
      <w:i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Métricas de ramificación y buclicidad en el juego La Escalera</dc:title>
  <dc:creator>Néstor Andrés Paipa</dc:creator>
  <dc:description>Diagnóstico de las ecuaciones vigentes y propuesta de consolidación</dc:description>
  <cp:lastModifiedBy>Un-named</cp:lastModifiedBy>
  <cp:revision>1</cp:revision>
  <dcterms:created xsi:type="dcterms:W3CDTF">2026-10-06T21:09:28.937Z</dcterms:created>
  <dcterms:modified xsi:type="dcterms:W3CDTF">2026-10-06T21:09:28.938Z</dcterms:modified>
</cp:coreProperties>
</file>

<file path=docProps/custom.xml><?xml version="1.0" encoding="utf-8"?>
<Properties xmlns="http://schemas.openxmlformats.org/officeDocument/2006/custom-properties" xmlns:vt="http://schemas.openxmlformats.org/officeDocument/2006/docPropsVTypes"/>
</file>