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jc w:val="center"/>
      </w:pPr>
      <w:r>
        <w:rPr>
          <w:b/>
          <w:bCs/>
          <w:sz w:val="32"/>
          <w:szCs w:val="32"/>
        </w:rPr>
        <w:t xml:space="preserve">Ecuaciones para el análisis de trayectorias en el juego La Escalera</w:t>
      </w:r>
    </w:p>
    <w:p>
      <w:pPr>
        <w:spacing w:after="260"/>
        <w:jc w:val="center"/>
      </w:pPr>
      <w:r>
        <w:rPr>
          <w:sz w:val="26"/>
          <w:szCs w:val="26"/>
        </w:rPr>
        <w:t xml:space="preserve">Respuesta a las observaciones del director y propuesta de formulación propia</w:t>
      </w:r>
    </w:p>
    <w:p>
      <w:pPr>
        <w:spacing w:after="50"/>
        <w:jc w:val="center"/>
      </w:pPr>
      <w:r>
        <w:rPr>
          <w:sz w:val="22"/>
          <w:szCs w:val="22"/>
        </w:rPr>
        <w:t xml:space="preserve">Néstor Andrés Paipa</w:t>
      </w:r>
    </w:p>
    <w:p>
      <w:pPr>
        <w:spacing w:after="50"/>
        <w:jc w:val="center"/>
      </w:pPr>
      <w:r>
        <w:rPr>
          <w:sz w:val="20"/>
          <w:szCs w:val="20"/>
        </w:rPr>
        <w:t xml:space="preserve">Maestría en Educación en Tecnología · Universidad Distrital Francisco José de Caldas</w:t>
      </w:r>
    </w:p>
    <w:p>
      <w:pPr>
        <w:spacing w:after="320"/>
        <w:jc w:val="center"/>
      </w:pPr>
      <w:r>
        <w:rPr>
          <w:i/>
          <w:iCs/>
          <w:sz w:val="20"/>
          <w:szCs w:val="20"/>
        </w:rPr>
        <w:t xml:space="preserve">Segundo documento de consulta · 7 de octubre de 2026</w:t>
      </w:r>
    </w:p>
    <w:p>
      <w:pPr>
        <w:pBdr>
          <w:top w:val="single" w:color="000000" w:sz="6"/>
        </w:pBdr>
        <w:spacing w:after="90"/>
        <w:jc w:val="left"/>
      </w:pPr>
      <w:r>
        <w:rPr>
          <w:b/>
          <w:bCs/>
          <w:sz w:val="22"/>
          <w:szCs w:val="22"/>
        </w:rPr>
        <w:t xml:space="preserve">Resumen</w:t>
      </w:r>
    </w:p>
    <w:p>
      <w:pPr>
        <w:spacing w:after="120" w:line="252"/>
        <w:ind w:left="240" w:right="240"/>
        <w:jc w:val="both"/>
      </w:pPr>
      <w:r>
        <w:rPr>
          <w:i/>
          <w:iCs/>
          <w:sz w:val="21"/>
          <w:szCs w:val="21"/>
        </w:rPr>
        <w:t xml:space="preserve">El director formuló dos objeciones de fondo al primer documento: que la suma de calidades de movimiento no constituye necesariamente un índice de ramificación, y que la calidad debería estar en función de los grados de libertad disponibles en cada momento. Ambas objeciones son correctas y motivan abandonar la formulación heredada en favor de una construida desde el grafo. Este documento responde a las cuatro decisiones consultadas, profundiza en los autores solicitados, incorpora la línea de métricas de navegación que el director sugirió —que resulta estar ya anunciada en el trabajo fuente bajo la figura del "WAZE cognitivo"— y deriva un conjunto de siete ecuaciones verificadas sobre el grafo real del juego. La verificación muestra que una partida óptima produce exactamente los valores extremos esperados y que los indicadores se separan de forma ordenada a medida que aumenta la exploración.</w:t>
      </w:r>
    </w:p>
    <w:p>
      <w:pPr>
        <w:pBdr>
          <w:bottom w:val="single" w:color="000000" w:sz="6"/>
        </w:pBdr>
        <w:spacing w:after="200" w:line="252"/>
        <w:ind w:left="240" w:right="240"/>
        <w:jc w:val="both"/>
      </w:pPr>
      <w:r>
        <w:rPr>
          <w:b/>
          <w:bCs/>
          <w:i/>
          <w:iCs/>
          <w:sz w:val="21"/>
          <w:szCs w:val="21"/>
        </w:rPr>
        <w:t xml:space="preserve">Palabras clave: </w:t>
      </w:r>
      <w:r>
        <w:rPr>
          <w:i/>
          <w:iCs/>
          <w:sz w:val="21"/>
          <w:szCs w:val="21"/>
        </w:rPr>
        <w:t xml:space="preserve">grados de libertad, puntos de decisión, circuidad, número ciclomático, espacio del problema.</w:t>
      </w:r>
    </w:p>
    <w:p>
      <w:pPr>
        <w:pStyle w:val="Heading1"/>
        <w:spacing w:after="160" w:before="360"/>
        <w:jc w:val="left"/>
      </w:pPr>
      <w:r>
        <w:rPr>
          <w:b/>
          <w:bCs/>
          <w:sz w:val="26"/>
          <w:szCs w:val="26"/>
        </w:rPr>
        <w:t xml:space="preserve">1. Respuesta a las cuatro consultas</w:t>
      </w:r>
    </w:p>
    <w:p>
      <w:pPr>
        <w:spacing w:after="140" w:before="0" w:line="276"/>
        <w:jc w:val="both"/>
      </w:pPr>
      <w:r>
        <w:t xml:space="preserve">Se recogen a continuación las observaciones del director y la decisión que se deriva de cada una.</w:t>
      </w:r>
    </w:p>
    <w:p>
      <w:pPr>
        <w:pStyle w:val="Heading2"/>
        <w:spacing w:after="110" w:before="240"/>
        <w:jc w:val="left"/>
      </w:pPr>
      <w:r>
        <w:rPr>
          <w:b/>
          <w:bCs/>
          <w:i/>
          <w:iCs/>
          <w:sz w:val="23"/>
          <w:szCs w:val="23"/>
        </w:rPr>
        <w:t xml:space="preserve">1.1. Calidad del movimiento</w:t>
      </w:r>
    </w:p>
    <w:p>
      <w:pPr>
        <w:spacing w:after="40" w:before="120" w:line="240"/>
        <w:ind w:left="720" w:right="480"/>
        <w:jc w:val="both"/>
      </w:pPr>
      <w:r>
        <w:rPr>
          <w:i/>
          <w:iCs/>
          <w:sz w:val="21"/>
          <w:szCs w:val="21"/>
        </w:rPr>
        <w:t xml:space="preserve">"De lo que se describe en la tabla, la A es la más apropiada. Yo creo que la calidad del movimiento es para cada movimiento… no sé si la sumatoria de calidades tenga que ver con algún índice de ramificación. […] puede ser que los primeros movimientos sean perfectos, pero los otros no; entonces no sé cómo pensar la calidad. Algo así como que esté en función de los grados de libertad…"</w:t>
      </w:r>
    </w:p>
    <w:p>
      <w:pPr>
        <w:spacing w:after="170"/>
        <w:ind w:right="480"/>
        <w:jc w:val="right"/>
      </w:pPr>
      <w:r>
        <w:rPr>
          <w:sz w:val="19"/>
          <w:szCs w:val="19"/>
        </w:rPr>
        <w:t xml:space="preserve">Observación del director</w:t>
      </w:r>
    </w:p>
    <w:p>
      <w:pPr>
        <w:spacing w:after="140" w:before="0" w:line="276"/>
        <w:jc w:val="both"/>
      </w:pPr>
      <w:r>
        <w:t xml:space="preserve">Las dos objeciones son acertadas y conviene aceptarlas sin reservas.</w:t>
      </w:r>
    </w:p>
    <w:p>
      <w:pPr>
        <w:spacing w:after="140" w:before="0" w:line="276"/>
        <w:jc w:val="both"/>
      </w:pPr>
      <w:r>
        <w:rPr>
          <w:b/>
          <w:bCs/>
        </w:rPr>
        <w:t xml:space="preserve">Sobre la sumatoria. </w:t>
      </w:r>
      <w:r>
        <w:t xml:space="preserve">Una suma de desviaciones crece con la longitud del intento, de modo que una partida larga pero bien jugada puede arrojar un valor mayor que una corta y errática. Además no es comparable entre ejercicios de distinto tamaño, porque un tablero de cinco pares exige como mínimo 35 movimientos y uno de dos pares solo 8. Una suma, por tanto, no es un índice: es un acumulado. Se sustituye por un promedio acotado entre 0 y 1.</w:t>
      </w:r>
    </w:p>
    <w:p>
      <w:pPr>
        <w:spacing w:after="140" w:before="0" w:line="276"/>
        <w:jc w:val="both"/>
      </w:pPr>
      <w:r>
        <w:rPr>
          <w:b/>
          <w:bCs/>
        </w:rPr>
        <w:t xml:space="preserve">Sobre los grados de libertad. </w:t>
      </w:r>
      <w:r>
        <w:t xml:space="preserve">Esta observación es la más productiva del conjunto, porque identifica el supuesto que fallaba. Evaluar la calidad de un movimiento solo tiene sentido si hubo algo que decidir. Si desde una posición existe una única jugada legal, el aprendiz no decidió nada y computarla como acierto o error no mide conducta alguna. Lo mismo ocurre si todas las jugadas disponibles conducen a la misma distancia de la meta: la elección es indiferente.</w:t>
      </w:r>
    </w:p>
    <w:p>
      <w:pPr>
        <w:spacing w:after="140" w:before="0" w:line="276"/>
        <w:jc w:val="both"/>
      </w:pPr>
      <w:r>
        <w:t xml:space="preserve">Los datos del grafo confirman que no se trata de un caso marginal. En el tablero de cinco pares, uno de cada cinco movimientos está forzado y aproximadamente un tercio no involucra ninguna decisión real (sección 4). Promediar sobre todos los movimientos diluiría la medida con situaciones en las que el aprendiz no eligió.</w:t>
      </w:r>
    </w:p>
    <w:p>
      <w:pPr>
        <w:spacing w:after="140" w:before="0" w:line="276"/>
        <w:jc w:val="both"/>
      </w:pPr>
      <w:r>
        <w:t xml:space="preserve">Hay además respaldo bibliográfico directo para esta intuición. Hinz (2012) afirma que los </w:t>
      </w:r>
      <w:r>
        <w:rPr>
          <w:i/>
          <w:iCs/>
        </w:rPr>
        <w:t xml:space="preserve">grados de los vértices</w:t>
      </w:r>
      <w:r>
        <w:t xml:space="preserve"> del grafo de estados se cuentan entre las cantidades que "sustentan la elección de problemas, la selección de tareas y el análisis del desempeño de los sujetos". El grado de un vértice es, precisamente, el número de grados de libertad de esa posición.</w:t>
      </w:r>
    </w:p>
    <w:p>
      <w:pPr>
        <w:spacing w:after="140" w:before="0" w:line="276"/>
        <w:jc w:val="both"/>
      </w:pPr>
      <w:r>
        <w:rPr>
          <w:b/>
          <w:bCs/>
        </w:rPr>
        <w:t xml:space="preserve">Decisión: </w:t>
      </w:r>
      <w:r>
        <w:t xml:space="preserve">se conserva el principio de la opción A —la calidad se mide contra lo que era posible en ese momento— pero se normaliza por el rango de resultados disponibles, y se restringe a los puntos en que existió decisión. La formulación está en la sección 5.</w:t>
      </w:r>
    </w:p>
    <w:p>
      <w:pPr>
        <w:pStyle w:val="Heading2"/>
        <w:spacing w:after="110" w:before="240"/>
        <w:jc w:val="left"/>
      </w:pPr>
      <w:r>
        <w:rPr>
          <w:b/>
          <w:bCs/>
          <w:i/>
          <w:iCs/>
          <w:sz w:val="23"/>
          <w:szCs w:val="23"/>
        </w:rPr>
        <w:t xml:space="preserve">1.2. Notación</w:t>
      </w:r>
    </w:p>
    <w:p>
      <w:pPr>
        <w:spacing w:after="40" w:before="120" w:line="240"/>
        <w:ind w:left="720" w:right="480"/>
        <w:jc w:val="both"/>
      </w:pPr>
      <w:r>
        <w:rPr>
          <w:i/>
          <w:iCs/>
          <w:sz w:val="21"/>
          <w:szCs w:val="21"/>
        </w:rPr>
        <w:t xml:space="preserve">"Sí, toca corregir esa parte…!"</w:t>
      </w:r>
    </w:p>
    <w:p>
      <w:pPr>
        <w:spacing w:after="170"/>
        <w:ind w:right="480"/>
        <w:jc w:val="right"/>
      </w:pPr>
      <w:r>
        <w:rPr>
          <w:sz w:val="19"/>
          <w:szCs w:val="19"/>
        </w:rPr>
        <w:t xml:space="preserve">Observación del director</w:t>
      </w:r>
    </w:p>
    <w:p>
      <w:pPr>
        <w:spacing w:after="140" w:before="0" w:line="276"/>
        <w:jc w:val="both"/>
      </w:pPr>
      <w:r>
        <w:t xml:space="preserve">Decisión tomada. Se emplearán dos símbolos distintos: D*(n) = n² + 2n para la ruta óptima global del ejercicio, y d(s) para la distancia desde un estado concreto hasta la meta. El uso de un mismo nombre para ambas era la causa de que la ecuación heredada resultara idénticamente nula.</w:t>
      </w:r>
    </w:p>
    <w:p>
      <w:pPr>
        <w:pStyle w:val="Heading2"/>
        <w:spacing w:after="110" w:before="240"/>
        <w:jc w:val="left"/>
      </w:pPr>
      <w:r>
        <w:rPr>
          <w:b/>
          <w:bCs/>
          <w:i/>
          <w:iCs/>
          <w:sz w:val="23"/>
          <w:szCs w:val="23"/>
        </w:rPr>
        <w:t xml:space="preserve">1.3. Buclicidad</w:t>
      </w:r>
    </w:p>
    <w:p>
      <w:pPr>
        <w:spacing w:after="40" w:before="120" w:line="240"/>
        <w:ind w:left="720" w:right="480"/>
        <w:jc w:val="both"/>
      </w:pPr>
      <w:r>
        <w:rPr>
          <w:i/>
          <w:iCs/>
          <w:sz w:val="21"/>
          <w:szCs w:val="21"/>
        </w:rPr>
        <w:t xml:space="preserve">"Tal vez, heredar la ecuación no sea lo mejor….!"</w:t>
      </w:r>
    </w:p>
    <w:p>
      <w:pPr>
        <w:spacing w:after="170"/>
        <w:ind w:right="480"/>
        <w:jc w:val="right"/>
      </w:pPr>
      <w:r>
        <w:rPr>
          <w:sz w:val="19"/>
          <w:szCs w:val="19"/>
        </w:rPr>
        <w:t xml:space="preserve">Observación del director</w:t>
      </w:r>
    </w:p>
    <w:p>
      <w:pPr>
        <w:spacing w:after="140" w:before="0" w:line="276"/>
        <w:jc w:val="both"/>
      </w:pPr>
      <w:r>
        <w:rPr>
          <w:b/>
          <w:bCs/>
        </w:rPr>
        <w:t xml:space="preserve">Decisión: </w:t>
      </w:r>
      <w:r>
        <w:t xml:space="preserve">se construye la buclicidad desde el grafo, con magnitudes que se miden sobre el recorrido del aprendiz, y no se hereda la ecuación del trabajo fuente como métrica. Esta conserva, no obstante, un papel menor pero útil: la verificación realizada —que mostró que predice con exactitud el tamaño de los bucles de dos y tres fichas— se mantiene como nota de validación del trabajo precedente, no como instrumento de medida. Esto permite reconocer el aporte de la fuente sin quedar atado a una ecuación que mide una magnitud distinta de la que se necesita.</w:t>
      </w:r>
    </w:p>
    <w:p>
      <w:pPr>
        <w:pStyle w:val="Heading2"/>
        <w:spacing w:after="110" w:before="240"/>
        <w:jc w:val="left"/>
      </w:pPr>
      <w:r>
        <w:rPr>
          <w:b/>
          <w:bCs/>
          <w:i/>
          <w:iCs/>
          <w:sz w:val="23"/>
          <w:szCs w:val="23"/>
        </w:rPr>
        <w:t xml:space="preserve">1.4. Bibliografía</w:t>
      </w:r>
    </w:p>
    <w:p>
      <w:pPr>
        <w:spacing w:after="40" w:before="120" w:line="240"/>
        <w:ind w:left="720" w:right="480"/>
        <w:jc w:val="both"/>
      </w:pPr>
      <w:r>
        <w:rPr>
          <w:i/>
          <w:iCs/>
          <w:sz w:val="21"/>
          <w:szCs w:val="21"/>
        </w:rPr>
        <w:t xml:space="preserve">"Me gustaría profundizar en esos autores. Me gusta lo que salió de ahí… yo no sé si las métricas de Waze y cosas de ese campo den información… sí sería bueno profundizar y al final generar ecuaciones…"</w:t>
      </w:r>
    </w:p>
    <w:p>
      <w:pPr>
        <w:spacing w:after="170"/>
        <w:ind w:right="480"/>
        <w:jc w:val="right"/>
      </w:pPr>
      <w:r>
        <w:rPr>
          <w:sz w:val="19"/>
          <w:szCs w:val="19"/>
        </w:rPr>
        <w:t xml:space="preserve">Observación del director</w:t>
      </w:r>
    </w:p>
    <w:p>
      <w:pPr>
        <w:spacing w:after="140" w:before="0" w:line="276"/>
        <w:jc w:val="both"/>
      </w:pPr>
      <w:r>
        <w:t xml:space="preserve">Se profundiza en los tres autores (sección 2) y se incorpora la línea de métricas de navegación (sección 3). Sobre esta última conviene adelantar un hallazgo: la figura del "WAZE cognitivo" no es una analogía externa, sino una expresión que el propio trabajo fuente emplea en dos pasajes. La sugerencia del director retoma, por tanto, una idea ya presente en la fuente y que quedó sin desarrollar.</w:t>
      </w:r>
    </w:p>
    <w:p>
      <w:pPr>
        <w:pStyle w:val="Heading1"/>
        <w:spacing w:after="160" w:before="360"/>
        <w:jc w:val="left"/>
      </w:pPr>
      <w:r>
        <w:rPr>
          <w:b/>
          <w:bCs/>
          <w:sz w:val="26"/>
          <w:szCs w:val="26"/>
        </w:rPr>
        <w:t xml:space="preserve">2. Profundización en los autores</w:t>
      </w:r>
    </w:p>
    <w:p>
      <w:pPr>
        <w:pStyle w:val="Heading2"/>
        <w:spacing w:after="110" w:before="240"/>
        <w:jc w:val="left"/>
      </w:pPr>
      <w:r>
        <w:rPr>
          <w:b/>
          <w:bCs/>
          <w:i/>
          <w:iCs/>
          <w:sz w:val="23"/>
          <w:szCs w:val="23"/>
        </w:rPr>
        <w:t xml:space="preserve">2.1. Hinz (2012): el grafo de estados como instrumento de evaluación</w:t>
      </w:r>
    </w:p>
    <w:p>
      <w:pPr>
        <w:spacing w:after="140" w:before="0" w:line="276"/>
        <w:jc w:val="both"/>
      </w:pPr>
      <w:r>
        <w:t xml:space="preserve">El artículo se publicó en Behavioural Neurology, revista de neurología conductual, y no en una publicación matemática. Esa procedencia importa: significa que el uso del grafo de estados como instrumento de evaluación cognitiva ya está legitimado en la literatura clínica. Su resumen afirma:</w:t>
      </w:r>
    </w:p>
    <w:p>
      <w:pPr>
        <w:spacing w:after="40" w:before="120" w:line="240"/>
        <w:ind w:left="720" w:right="480"/>
        <w:jc w:val="both"/>
      </w:pPr>
      <w:r>
        <w:rPr>
          <w:i/>
          <w:iCs/>
          <w:sz w:val="21"/>
          <w:szCs w:val="21"/>
        </w:rPr>
        <w:t xml:space="preserve">"El modelo matemático apropiado para el espacio del problema de las tareas de transformación de tipo torre es el grafo de estados que representa las posiciones de los discos o bolas y sus movimientos. Cantidades propias de la teoría de grafos, como la distancia, las excentricidades o los grados de los vértices, y las simetrías de los grafos, sustentan la elección de los problemas, la selección de las tareas y el análisis del desempeño de los sujetos, cuyos caminos de solución pueden proyectarse sobre el grafo."</w:t>
      </w:r>
    </w:p>
    <w:p>
      <w:pPr>
        <w:spacing w:after="170"/>
        <w:ind w:right="480"/>
        <w:jc w:val="right"/>
      </w:pPr>
      <w:r>
        <w:rPr>
          <w:sz w:val="19"/>
          <w:szCs w:val="19"/>
        </w:rPr>
        <w:t xml:space="preserve">Hinz (2012), resumen; traducción propia</w:t>
      </w:r>
    </w:p>
    <w:p>
      <w:pPr>
        <w:spacing w:after="140" w:before="0" w:line="276"/>
        <w:jc w:val="both"/>
      </w:pPr>
      <w:r>
        <w:t xml:space="preserve">Tres consecuencias para esta investigación. Primera, el procedimiento que aquí se sigue —proyectar la trayectoria del aprendiz sobre el grafo y medir sobre ella— es exactamente el que el artículo describe. Segunda, los grados de los vértices aparecen nombrados como instrumento de análisis del desempeño, lo que da sustento a la propuesta del director. Tercera, el artículo trabaja sobre la Torre de Hanói y la Torre de Londres, que son tareas de transformación con espacio de estados finito, la misma familia a la que pertenece La Escalera; el marco es trasladable sin adaptación sustantiva.</w:t>
      </w:r>
    </w:p>
    <w:p>
      <w:pPr>
        <w:spacing w:after="140" w:before="0" w:line="276"/>
        <w:jc w:val="both"/>
      </w:pPr>
      <w:r>
        <w:t xml:space="preserve">El tratamiento matemático exhaustivo de los grafos de esta familia de problemas se encuentra en Hinz, Klavžar y Petr (2018), que puede consultarse para las propiedades estructurales si el jurado las requiere.</w:t>
      </w:r>
    </w:p>
    <w:p>
      <w:pPr>
        <w:pStyle w:val="Heading2"/>
        <w:spacing w:after="110" w:before="240"/>
        <w:jc w:val="left"/>
      </w:pPr>
      <w:r>
        <w:rPr>
          <w:b/>
          <w:bCs/>
          <w:i/>
          <w:iCs/>
          <w:sz w:val="23"/>
          <w:szCs w:val="23"/>
        </w:rPr>
        <w:t xml:space="preserve">2.2. Kirchhoff (1847) y McCabe (1976): contar ciclos</w:t>
      </w:r>
    </w:p>
    <w:p>
      <w:pPr>
        <w:spacing w:after="140" w:before="0" w:line="276"/>
        <w:jc w:val="both"/>
      </w:pPr>
      <w:r>
        <w:t xml:space="preserve">La pregunta de cuántos bucles contiene un recorrido tiene una respuesta clásica. El número ciclomático de un grafo —también llamado rango de circuitos— es el número mínimo de aristas que deben retirarse para destruir todos sus ciclos, y equivale al número de ciclos independientes. Su origen se remonta a Kirchhoff (1847), en el análisis de redes eléctricas, donde surgió al estudiar cuántas ecuaciones independientes describen una red con mallas.</w:t>
      </w:r>
    </w:p>
    <w:p>
      <w:pPr>
        <w:spacing w:after="140" w:before="0" w:line="276"/>
        <w:jc w:val="both"/>
      </w:pPr>
      <w:r>
        <w:t xml:space="preserve">McCabe (1976) lo reintrodujo en ingeniería de software bajo el nombre de complejidad ciclomática, v(G) = E − N + 2P, para medir la complejidad de un programa a partir de los ciclos de su grafo de flujo. El paralelo con el presente problema es estrecho: McCabe mide cuántos caminos independientes puede recorrer la ejecución de un programa; aquí se mide cuántos bucles independientes recorrió efectivamente el aprendiz. En ambos casos la magnitud distingue entre repetir muchas veces un mismo ciclo y explorar ciclos distintos, que es justamente la distinción que interesa entre un aprendiz que se queda atrapado y uno que explora.</w:t>
      </w:r>
    </w:p>
    <w:p>
      <w:pPr>
        <w:pStyle w:val="Heading1"/>
        <w:spacing w:after="160" w:before="360"/>
        <w:jc w:val="left"/>
      </w:pPr>
      <w:r>
        <w:rPr>
          <w:b/>
          <w:bCs/>
          <w:sz w:val="26"/>
          <w:szCs w:val="26"/>
        </w:rPr>
        <w:t xml:space="preserve">3. La vía sugerida: métricas de navegación</w:t>
      </w:r>
    </w:p>
    <w:p>
      <w:pPr>
        <w:spacing w:after="140" w:before="0" w:line="276"/>
        <w:jc w:val="both"/>
      </w:pPr>
      <w:r>
        <w:t xml:space="preserve">El director preguntó si las métricas propias de los sistemas de navegación aportarían información. La respuesta es afirmativa, y por partida doble.</w:t>
      </w:r>
    </w:p>
    <w:p>
      <w:pPr>
        <w:pStyle w:val="Heading2"/>
        <w:spacing w:after="110" w:before="240"/>
        <w:jc w:val="left"/>
      </w:pPr>
      <w:r>
        <w:rPr>
          <w:b/>
          <w:bCs/>
          <w:i/>
          <w:iCs/>
          <w:sz w:val="23"/>
          <w:szCs w:val="23"/>
        </w:rPr>
        <w:t xml:space="preserve">3.1. La figura ya está en el trabajo fuente</w:t>
      </w:r>
    </w:p>
    <w:p>
      <w:pPr>
        <w:spacing w:after="140" w:before="0" w:line="276"/>
        <w:jc w:val="both"/>
      </w:pPr>
      <w:r>
        <w:t xml:space="preserve">El trabajo de Liévano Chaparro y Molina Monguí emplea la expresión en dos pasajes. En el primero, al presentar el espacio del problema:</w:t>
      </w:r>
    </w:p>
    <w:p>
      <w:pPr>
        <w:spacing w:after="40" w:before="120" w:line="240"/>
        <w:ind w:left="720" w:right="480"/>
        <w:jc w:val="both"/>
      </w:pPr>
      <w:r>
        <w:rPr>
          <w:i/>
          <w:iCs/>
          <w:sz w:val="21"/>
          <w:szCs w:val="21"/>
        </w:rPr>
        <w:t xml:space="preserve">"[el grafo da] cuenta de su progreso, fallos y puntos críticos que pueden ser vistos como oportunidades de andamiaje, de manera tal que pueda ser utilizado como un WAZE cognitivo desde el análisis."</w:t>
      </w:r>
    </w:p>
    <w:p>
      <w:pPr>
        <w:spacing w:after="170"/>
        <w:ind w:right="480"/>
        <w:jc w:val="right"/>
      </w:pPr>
      <w:r>
        <w:rPr>
          <w:sz w:val="19"/>
          <w:szCs w:val="19"/>
        </w:rPr>
        <w:t xml:space="preserve">Liévano Chaparro y Molina Monguí (2022, p. 35)</w:t>
      </w:r>
    </w:p>
    <w:p>
      <w:pPr>
        <w:spacing w:after="140" w:before="0" w:line="276"/>
        <w:jc w:val="both"/>
      </w:pPr>
      <w:r>
        <w:t xml:space="preserve">Y en el segundo, dentro de las proyecciones de trabajo futuro: "El grafo como waze cognitivo permite relacionar los puntos críticos usados como semáforos". La sugerencia del director retoma, por tanto, una línea que la fuente anunció y no desarrolló, lo que da continuidad al aporte de esta investigación.</w:t>
      </w:r>
    </w:p>
    <w:p>
      <w:pPr>
        <w:pStyle w:val="Heading2"/>
        <w:spacing w:after="110" w:before="240"/>
        <w:jc w:val="left"/>
      </w:pPr>
      <w:r>
        <w:rPr>
          <w:b/>
          <w:bCs/>
          <w:i/>
          <w:iCs/>
          <w:sz w:val="23"/>
          <w:szCs w:val="23"/>
        </w:rPr>
        <w:t xml:space="preserve">3.2. La métrica correspondiente tiene nombre propio</w:t>
      </w:r>
    </w:p>
    <w:p>
      <w:pPr>
        <w:spacing w:after="140" w:before="0" w:line="276"/>
        <w:jc w:val="both"/>
      </w:pPr>
      <w:r>
        <w:t xml:space="preserve">Lo que un sistema de navegación evalúa cuando compara la ruta seguida con la ruta más corta se denomina, en el análisis de redes espaciales, factor de ruta, índice de rodeo o circuidad. Barthélemy (2011), en su revisión de redes espaciales publicada en Physics Reports, lo define como el cociente entre la distancia efectivamente recorrida y la distancia mínima, y señala que el valor es siempre mayor o igual que uno y que cuanto más próximo a uno, más eficiente es el trayecto.</w:t>
      </w:r>
    </w:p>
    <w:p>
      <w:pPr>
        <w:spacing w:after="140" w:before="0" w:line="276"/>
        <w:jc w:val="both"/>
      </w:pPr>
      <w:r>
        <w:t xml:space="preserve">Trasladado al juego, el cociente entre los movimientos realizados y los movimientos mínimos es exactamente esa magnitud. La correspondencia no es metafórica: es la misma razón matemática aplicada a un grafo distinto. Esto permite citar literatura consolidada de análisis de redes para una magnitud que hasta ahora se venía describiendo informalmente como "exceso de movimientos", y da fundamento a la intuición del director.</w:t>
      </w:r>
    </w:p>
    <w:p>
      <w:pPr>
        <w:pStyle w:val="Heading1"/>
        <w:spacing w:after="160" w:before="360"/>
        <w:jc w:val="left"/>
      </w:pPr>
      <w:r>
        <w:rPr>
          <w:b/>
          <w:bCs/>
          <w:sz w:val="26"/>
          <w:szCs w:val="26"/>
        </w:rPr>
        <w:t xml:space="preserve">4. Grados de libertad en el grafo del juego</w:t>
      </w:r>
    </w:p>
    <w:p>
      <w:pPr>
        <w:spacing w:after="140" w:before="0" w:line="276"/>
        <w:jc w:val="both"/>
      </w:pPr>
      <w:r>
        <w:t xml:space="preserve">Se define el </w:t>
      </w:r>
      <w:r>
        <w:rPr>
          <w:b/>
          <w:bCs/>
        </w:rPr>
        <w:t xml:space="preserve">grado de libertad</w:t>
      </w:r>
      <w:r>
        <w:t xml:space="preserve"> de una posición como el número de jugadas legales disponibles desde ella. Depende del estado y también del estado anterior, porque la segunda regla del juego prohíbe deshacer de inmediato la última jugada. La Tabla 1 recoge su distribución sobre todas las situaciones alcanzables.</w:t>
      </w:r>
    </w:p>
    <w:tbl>
      <w:tblPr>
        <w:tblW w:type="dxa" w:w="9360"/>
        <w:tblBorders>
          <w:top w:val="single" w:color="000000" w:sz="6"/>
          <w:left w:val="none"/>
          <w:bottom w:val="single" w:color="000000" w:sz="6"/>
          <w:right w:val="none"/>
          <w:insideH w:val="single" w:color="AAAAAA" w:sz="2"/>
          <w:insideV w:val="none"/>
        </w:tblBorders>
      </w:tblPr>
      <w:tblGrid>
        <w:gridCol w:w="1150"/>
        <w:gridCol w:w="1350"/>
        <w:gridCol w:w="2500"/>
        <w:gridCol w:w="2700"/>
        <w:gridCol w:w="1660"/>
      </w:tblGrid>
      <w:tr>
        <w:trPr>
          <w:tblHeader/>
        </w:trPr>
        <w:tc>
          <w:tcPr>
            <w:tcW w:type="dxa" w:w="1150"/>
            <w:shd w:fill="EFEFEF" w:color="auto" w:val="clear"/>
            <w:tcMar>
              <w:top w:type="dxa" w:w="60"/>
              <w:left w:type="dxa" w:w="110"/>
              <w:bottom w:type="dxa" w:w="60"/>
              <w:right w:type="dxa" w:w="110"/>
            </w:tcMar>
          </w:tcPr>
          <w:p>
            <w:pPr>
              <w:spacing w:after="0" w:line="240"/>
              <w:jc w:val="left"/>
            </w:pPr>
            <w:r>
              <w:rPr>
                <w:b/>
                <w:bCs/>
                <w:sz w:val="20"/>
                <w:szCs w:val="20"/>
              </w:rPr>
              <w:t xml:space="preserve">Pares</w:t>
            </w:r>
          </w:p>
        </w:tc>
        <w:tc>
          <w:tcPr>
            <w:tcW w:type="dxa" w:w="1350"/>
            <w:shd w:fill="EFEFEF" w:color="auto" w:val="clear"/>
            <w:tcMar>
              <w:top w:type="dxa" w:w="60"/>
              <w:left w:type="dxa" w:w="110"/>
              <w:bottom w:type="dxa" w:w="60"/>
              <w:right w:type="dxa" w:w="110"/>
            </w:tcMar>
          </w:tcPr>
          <w:p>
            <w:pPr>
              <w:spacing w:after="0" w:line="240"/>
              <w:jc w:val="left"/>
            </w:pPr>
            <w:r>
              <w:rPr>
                <w:b/>
                <w:bCs/>
                <w:sz w:val="20"/>
                <w:szCs w:val="20"/>
              </w:rPr>
              <w:t xml:space="preserve">Situaciones</w:t>
            </w:r>
          </w:p>
        </w:tc>
        <w:tc>
          <w:tcPr>
            <w:tcW w:type="dxa" w:w="2500"/>
            <w:shd w:fill="EFEFEF" w:color="auto" w:val="clear"/>
            <w:tcMar>
              <w:top w:type="dxa" w:w="60"/>
              <w:left w:type="dxa" w:w="110"/>
              <w:bottom w:type="dxa" w:w="60"/>
              <w:right w:type="dxa" w:w="110"/>
            </w:tcMar>
          </w:tcPr>
          <w:p>
            <w:pPr>
              <w:spacing w:after="0" w:line="240"/>
              <w:jc w:val="left"/>
            </w:pPr>
            <w:r>
              <w:rPr>
                <w:b/>
                <w:bCs/>
                <w:sz w:val="20"/>
                <w:szCs w:val="20"/>
              </w:rPr>
              <w:t xml:space="preserve">Grados de libertad 1 / 2 / 3 / 4</w:t>
            </w:r>
          </w:p>
        </w:tc>
        <w:tc>
          <w:tcPr>
            <w:tcW w:type="dxa" w:w="2700"/>
            <w:shd w:fill="EFEFEF" w:color="auto" w:val="clear"/>
            <w:tcMar>
              <w:top w:type="dxa" w:w="60"/>
              <w:left w:type="dxa" w:w="110"/>
              <w:bottom w:type="dxa" w:w="60"/>
              <w:right w:type="dxa" w:w="110"/>
            </w:tcMar>
          </w:tcPr>
          <w:p>
            <w:pPr>
              <w:spacing w:after="0" w:line="240"/>
              <w:jc w:val="left"/>
            </w:pPr>
            <w:r>
              <w:rPr>
                <w:b/>
                <w:bCs/>
                <w:sz w:val="20"/>
                <w:szCs w:val="20"/>
              </w:rPr>
              <w:t xml:space="preserve">Puntos de decisión reales</w:t>
            </w:r>
          </w:p>
        </w:tc>
        <w:tc>
          <w:tcPr>
            <w:tcW w:type="dxa" w:w="1660"/>
            <w:shd w:fill="EFEFEF" w:color="auto" w:val="clear"/>
            <w:tcMar>
              <w:top w:type="dxa" w:w="60"/>
              <w:left w:type="dxa" w:w="110"/>
              <w:bottom w:type="dxa" w:w="60"/>
              <w:right w:type="dxa" w:w="110"/>
            </w:tcMar>
          </w:tcPr>
          <w:p>
            <w:pPr>
              <w:spacing w:after="0" w:line="240"/>
              <w:jc w:val="left"/>
            </w:pPr>
            <w:r>
              <w:rPr>
                <w:b/>
                <w:bCs/>
                <w:sz w:val="20"/>
                <w:szCs w:val="20"/>
              </w:rPr>
              <w:t xml:space="preserve">% del total</w:t>
            </w:r>
          </w:p>
        </w:tc>
      </w:tr>
      <w:tr>
        <w:tc>
          <w:tcPr>
            <w:tcW w:type="dxa" w:w="1150"/>
            <w:tcMar>
              <w:top w:type="dxa" w:w="60"/>
              <w:left w:type="dxa" w:w="110"/>
              <w:bottom w:type="dxa" w:w="60"/>
              <w:right w:type="dxa" w:w="110"/>
            </w:tcMar>
          </w:tcPr>
          <w:p>
            <w:pPr>
              <w:spacing w:after="0" w:line="240"/>
              <w:jc w:val="left"/>
            </w:pPr>
            <w:r>
              <w:rPr>
                <w:b w:val="false"/>
                <w:bCs w:val="false"/>
                <w:sz w:val="20"/>
                <w:szCs w:val="20"/>
              </w:rPr>
              <w:t xml:space="preserve">1</w:t>
            </w:r>
          </w:p>
        </w:tc>
        <w:tc>
          <w:tcPr>
            <w:tcW w:type="dxa" w:w="1350"/>
            <w:tcMar>
              <w:top w:type="dxa" w:w="60"/>
              <w:left w:type="dxa" w:w="110"/>
              <w:bottom w:type="dxa" w:w="60"/>
              <w:right w:type="dxa" w:w="110"/>
            </w:tcMar>
          </w:tcPr>
          <w:p>
            <w:pPr>
              <w:spacing w:after="0" w:line="240"/>
              <w:jc w:val="left"/>
            </w:pPr>
            <w:r>
              <w:rPr>
                <w:b w:val="false"/>
                <w:bCs w:val="false"/>
                <w:sz w:val="20"/>
                <w:szCs w:val="20"/>
              </w:rPr>
              <w:t xml:space="preserve">15</w:t>
            </w:r>
          </w:p>
        </w:tc>
        <w:tc>
          <w:tcPr>
            <w:tcW w:type="dxa" w:w="2500"/>
            <w:tcMar>
              <w:top w:type="dxa" w:w="60"/>
              <w:left w:type="dxa" w:w="110"/>
              <w:bottom w:type="dxa" w:w="60"/>
              <w:right w:type="dxa" w:w="110"/>
            </w:tcMar>
          </w:tcPr>
          <w:p>
            <w:pPr>
              <w:spacing w:after="0" w:line="240"/>
              <w:jc w:val="left"/>
            </w:pPr>
            <w:r>
              <w:rPr>
                <w:b w:val="false"/>
                <w:bCs w:val="false"/>
                <w:sz w:val="20"/>
                <w:szCs w:val="20"/>
              </w:rPr>
              <w:t xml:space="preserve">10 / 5 / 0 / 0</w:t>
            </w:r>
          </w:p>
        </w:tc>
        <w:tc>
          <w:tcPr>
            <w:tcW w:type="dxa" w:w="2700"/>
            <w:tcMar>
              <w:top w:type="dxa" w:w="60"/>
              <w:left w:type="dxa" w:w="110"/>
              <w:bottom w:type="dxa" w:w="60"/>
              <w:right w:type="dxa" w:w="110"/>
            </w:tcMar>
          </w:tcPr>
          <w:p>
            <w:pPr>
              <w:spacing w:after="0" w:line="240"/>
              <w:jc w:val="left"/>
            </w:pPr>
            <w:r>
              <w:rPr>
                <w:b w:val="false"/>
                <w:bCs w:val="false"/>
                <w:sz w:val="20"/>
                <w:szCs w:val="20"/>
              </w:rPr>
              <w:t xml:space="preserve">4</w:t>
            </w:r>
          </w:p>
        </w:tc>
        <w:tc>
          <w:tcPr>
            <w:tcW w:type="dxa" w:w="1660"/>
            <w:tcMar>
              <w:top w:type="dxa" w:w="60"/>
              <w:left w:type="dxa" w:w="110"/>
              <w:bottom w:type="dxa" w:w="60"/>
              <w:right w:type="dxa" w:w="110"/>
            </w:tcMar>
          </w:tcPr>
          <w:p>
            <w:pPr>
              <w:spacing w:after="0" w:line="240"/>
              <w:jc w:val="left"/>
            </w:pPr>
            <w:r>
              <w:rPr>
                <w:b w:val="false"/>
                <w:bCs w:val="false"/>
                <w:sz w:val="20"/>
                <w:szCs w:val="20"/>
              </w:rPr>
              <w:t xml:space="preserve">26,7 %</w:t>
            </w:r>
          </w:p>
        </w:tc>
      </w:tr>
      <w:tr>
        <w:tc>
          <w:tcPr>
            <w:tcW w:type="dxa" w:w="1150"/>
            <w:tcMar>
              <w:top w:type="dxa" w:w="60"/>
              <w:left w:type="dxa" w:w="110"/>
              <w:bottom w:type="dxa" w:w="60"/>
              <w:right w:type="dxa" w:w="110"/>
            </w:tcMar>
          </w:tcPr>
          <w:p>
            <w:pPr>
              <w:spacing w:after="0" w:line="240"/>
              <w:jc w:val="left"/>
            </w:pPr>
            <w:r>
              <w:rPr>
                <w:b w:val="false"/>
                <w:bCs w:val="false"/>
                <w:sz w:val="20"/>
                <w:szCs w:val="20"/>
              </w:rPr>
              <w:t xml:space="preserve">2</w:t>
            </w:r>
          </w:p>
        </w:tc>
        <w:tc>
          <w:tcPr>
            <w:tcW w:type="dxa" w:w="1350"/>
            <w:tcMar>
              <w:top w:type="dxa" w:w="60"/>
              <w:left w:type="dxa" w:w="110"/>
              <w:bottom w:type="dxa" w:w="60"/>
              <w:right w:type="dxa" w:w="110"/>
            </w:tcMar>
          </w:tcPr>
          <w:p>
            <w:pPr>
              <w:spacing w:after="0" w:line="240"/>
              <w:jc w:val="left"/>
            </w:pPr>
            <w:r>
              <w:rPr>
                <w:b w:val="false"/>
                <w:bCs w:val="false"/>
                <w:sz w:val="20"/>
                <w:szCs w:val="20"/>
              </w:rPr>
              <w:t xml:space="preserve">95</w:t>
            </w:r>
          </w:p>
        </w:tc>
        <w:tc>
          <w:tcPr>
            <w:tcW w:type="dxa" w:w="2500"/>
            <w:tcMar>
              <w:top w:type="dxa" w:w="60"/>
              <w:left w:type="dxa" w:w="110"/>
              <w:bottom w:type="dxa" w:w="60"/>
              <w:right w:type="dxa" w:w="110"/>
            </w:tcMar>
          </w:tcPr>
          <w:p>
            <w:pPr>
              <w:spacing w:after="0" w:line="240"/>
              <w:jc w:val="left"/>
            </w:pPr>
            <w:r>
              <w:rPr>
                <w:b w:val="false"/>
                <w:bCs w:val="false"/>
                <w:sz w:val="20"/>
                <w:szCs w:val="20"/>
              </w:rPr>
              <w:t xml:space="preserve">30 / 37 / 24 / 4</w:t>
            </w:r>
          </w:p>
        </w:tc>
        <w:tc>
          <w:tcPr>
            <w:tcW w:type="dxa" w:w="2700"/>
            <w:tcMar>
              <w:top w:type="dxa" w:w="60"/>
              <w:left w:type="dxa" w:w="110"/>
              <w:bottom w:type="dxa" w:w="60"/>
              <w:right w:type="dxa" w:w="110"/>
            </w:tcMar>
          </w:tcPr>
          <w:p>
            <w:pPr>
              <w:spacing w:after="0" w:line="240"/>
              <w:jc w:val="left"/>
            </w:pPr>
            <w:r>
              <w:rPr>
                <w:b w:val="false"/>
                <w:bCs w:val="false"/>
                <w:sz w:val="20"/>
                <w:szCs w:val="20"/>
              </w:rPr>
              <w:t xml:space="preserve">57</w:t>
            </w:r>
          </w:p>
        </w:tc>
        <w:tc>
          <w:tcPr>
            <w:tcW w:type="dxa" w:w="1660"/>
            <w:tcMar>
              <w:top w:type="dxa" w:w="60"/>
              <w:left w:type="dxa" w:w="110"/>
              <w:bottom w:type="dxa" w:w="60"/>
              <w:right w:type="dxa" w:w="110"/>
            </w:tcMar>
          </w:tcPr>
          <w:p>
            <w:pPr>
              <w:spacing w:after="0" w:line="240"/>
              <w:jc w:val="left"/>
            </w:pPr>
            <w:r>
              <w:rPr>
                <w:b w:val="false"/>
                <w:bCs w:val="false"/>
                <w:sz w:val="20"/>
                <w:szCs w:val="20"/>
              </w:rPr>
              <w:t xml:space="preserve">60,0 %</w:t>
            </w:r>
          </w:p>
        </w:tc>
      </w:tr>
      <w:tr>
        <w:tc>
          <w:tcPr>
            <w:tcW w:type="dxa" w:w="1150"/>
            <w:tcMar>
              <w:top w:type="dxa" w:w="60"/>
              <w:left w:type="dxa" w:w="110"/>
              <w:bottom w:type="dxa" w:w="60"/>
              <w:right w:type="dxa" w:w="110"/>
            </w:tcMar>
          </w:tcPr>
          <w:p>
            <w:pPr>
              <w:spacing w:after="0" w:line="240"/>
              <w:jc w:val="left"/>
            </w:pPr>
            <w:r>
              <w:rPr>
                <w:b w:val="false"/>
                <w:bCs w:val="false"/>
                <w:sz w:val="20"/>
                <w:szCs w:val="20"/>
              </w:rPr>
              <w:t xml:space="preserve">3</w:t>
            </w:r>
          </w:p>
        </w:tc>
        <w:tc>
          <w:tcPr>
            <w:tcW w:type="dxa" w:w="1350"/>
            <w:tcMar>
              <w:top w:type="dxa" w:w="60"/>
              <w:left w:type="dxa" w:w="110"/>
              <w:bottom w:type="dxa" w:w="60"/>
              <w:right w:type="dxa" w:w="110"/>
            </w:tcMar>
          </w:tcPr>
          <w:p>
            <w:pPr>
              <w:spacing w:after="0" w:line="240"/>
              <w:jc w:val="left"/>
            </w:pPr>
            <w:r>
              <w:rPr>
                <w:b w:val="false"/>
                <w:bCs w:val="false"/>
                <w:sz w:val="20"/>
                <w:szCs w:val="20"/>
              </w:rPr>
              <w:t xml:space="preserve">481</w:t>
            </w:r>
          </w:p>
        </w:tc>
        <w:tc>
          <w:tcPr>
            <w:tcW w:type="dxa" w:w="2500"/>
            <w:tcMar>
              <w:top w:type="dxa" w:w="60"/>
              <w:left w:type="dxa" w:w="110"/>
              <w:bottom w:type="dxa" w:w="60"/>
              <w:right w:type="dxa" w:w="110"/>
            </w:tcMar>
          </w:tcPr>
          <w:p>
            <w:pPr>
              <w:spacing w:after="0" w:line="240"/>
              <w:jc w:val="left"/>
            </w:pPr>
            <w:r>
              <w:rPr>
                <w:b w:val="false"/>
                <w:bCs w:val="false"/>
                <w:sz w:val="20"/>
                <w:szCs w:val="20"/>
              </w:rPr>
              <w:t xml:space="preserve">118 / 195 / 144 / 24</w:t>
            </w:r>
          </w:p>
        </w:tc>
        <w:tc>
          <w:tcPr>
            <w:tcW w:type="dxa" w:w="2700"/>
            <w:tcMar>
              <w:top w:type="dxa" w:w="60"/>
              <w:left w:type="dxa" w:w="110"/>
              <w:bottom w:type="dxa" w:w="60"/>
              <w:right w:type="dxa" w:w="110"/>
            </w:tcMar>
          </w:tcPr>
          <w:p>
            <w:pPr>
              <w:spacing w:after="0" w:line="240"/>
              <w:jc w:val="left"/>
            </w:pPr>
            <w:r>
              <w:rPr>
                <w:b w:val="false"/>
                <w:bCs w:val="false"/>
                <w:sz w:val="20"/>
                <w:szCs w:val="20"/>
              </w:rPr>
              <w:t xml:space="preserve">310</w:t>
            </w:r>
          </w:p>
        </w:tc>
        <w:tc>
          <w:tcPr>
            <w:tcW w:type="dxa" w:w="1660"/>
            <w:tcMar>
              <w:top w:type="dxa" w:w="60"/>
              <w:left w:type="dxa" w:w="110"/>
              <w:bottom w:type="dxa" w:w="60"/>
              <w:right w:type="dxa" w:w="110"/>
            </w:tcMar>
          </w:tcPr>
          <w:p>
            <w:pPr>
              <w:spacing w:after="0" w:line="240"/>
              <w:jc w:val="left"/>
            </w:pPr>
            <w:r>
              <w:rPr>
                <w:b w:val="false"/>
                <w:bCs w:val="false"/>
                <w:sz w:val="20"/>
                <w:szCs w:val="20"/>
              </w:rPr>
              <w:t xml:space="preserve">64,4 %</w:t>
            </w:r>
          </w:p>
        </w:tc>
      </w:tr>
      <w:tr>
        <w:tc>
          <w:tcPr>
            <w:tcW w:type="dxa" w:w="1150"/>
            <w:tcMar>
              <w:top w:type="dxa" w:w="60"/>
              <w:left w:type="dxa" w:w="110"/>
              <w:bottom w:type="dxa" w:w="60"/>
              <w:right w:type="dxa" w:w="110"/>
            </w:tcMar>
          </w:tcPr>
          <w:p>
            <w:pPr>
              <w:spacing w:after="0" w:line="240"/>
              <w:jc w:val="left"/>
            </w:pPr>
            <w:r>
              <w:rPr>
                <w:b w:val="false"/>
                <w:bCs w:val="false"/>
                <w:sz w:val="20"/>
                <w:szCs w:val="20"/>
              </w:rPr>
              <w:t xml:space="preserve">4</w:t>
            </w:r>
          </w:p>
        </w:tc>
        <w:tc>
          <w:tcPr>
            <w:tcW w:type="dxa" w:w="1350"/>
            <w:tcMar>
              <w:top w:type="dxa" w:w="60"/>
              <w:left w:type="dxa" w:w="110"/>
              <w:bottom w:type="dxa" w:w="60"/>
              <w:right w:type="dxa" w:w="110"/>
            </w:tcMar>
          </w:tcPr>
          <w:p>
            <w:pPr>
              <w:spacing w:after="0" w:line="240"/>
              <w:jc w:val="left"/>
            </w:pPr>
            <w:r>
              <w:rPr>
                <w:b w:val="false"/>
                <w:bCs w:val="false"/>
                <w:sz w:val="20"/>
                <w:szCs w:val="20"/>
              </w:rPr>
              <w:t xml:space="preserve">2247</w:t>
            </w:r>
          </w:p>
        </w:tc>
        <w:tc>
          <w:tcPr>
            <w:tcW w:type="dxa" w:w="2500"/>
            <w:tcMar>
              <w:top w:type="dxa" w:w="60"/>
              <w:left w:type="dxa" w:w="110"/>
              <w:bottom w:type="dxa" w:w="60"/>
              <w:right w:type="dxa" w:w="110"/>
            </w:tcMar>
          </w:tcPr>
          <w:p>
            <w:pPr>
              <w:spacing w:after="0" w:line="240"/>
              <w:jc w:val="left"/>
            </w:pPr>
            <w:r>
              <w:rPr>
                <w:b w:val="false"/>
                <w:bCs w:val="false"/>
                <w:sz w:val="20"/>
                <w:szCs w:val="20"/>
              </w:rPr>
              <w:t xml:space="preserve">478 / 929 / 720 / 120</w:t>
            </w:r>
          </w:p>
        </w:tc>
        <w:tc>
          <w:tcPr>
            <w:tcW w:type="dxa" w:w="2700"/>
            <w:tcMar>
              <w:top w:type="dxa" w:w="60"/>
              <w:left w:type="dxa" w:w="110"/>
              <w:bottom w:type="dxa" w:w="60"/>
              <w:right w:type="dxa" w:w="110"/>
            </w:tcMar>
          </w:tcPr>
          <w:p>
            <w:pPr>
              <w:spacing w:after="0" w:line="240"/>
              <w:jc w:val="left"/>
            </w:pPr>
            <w:r>
              <w:rPr>
                <w:b w:val="false"/>
                <w:bCs w:val="false"/>
                <w:sz w:val="20"/>
                <w:szCs w:val="20"/>
              </w:rPr>
              <w:t xml:space="preserve">1509</w:t>
            </w:r>
          </w:p>
        </w:tc>
        <w:tc>
          <w:tcPr>
            <w:tcW w:type="dxa" w:w="1660"/>
            <w:tcMar>
              <w:top w:type="dxa" w:w="60"/>
              <w:left w:type="dxa" w:w="110"/>
              <w:bottom w:type="dxa" w:w="60"/>
              <w:right w:type="dxa" w:w="110"/>
            </w:tcMar>
          </w:tcPr>
          <w:p>
            <w:pPr>
              <w:spacing w:after="0" w:line="240"/>
              <w:jc w:val="left"/>
            </w:pPr>
            <w:r>
              <w:rPr>
                <w:b w:val="false"/>
                <w:bCs w:val="false"/>
                <w:sz w:val="20"/>
                <w:szCs w:val="20"/>
              </w:rPr>
              <w:t xml:space="preserve">67,2 %</w:t>
            </w:r>
          </w:p>
        </w:tc>
      </w:tr>
      <w:tr>
        <w:tc>
          <w:tcPr>
            <w:tcW w:type="dxa" w:w="1150"/>
            <w:tcMar>
              <w:top w:type="dxa" w:w="60"/>
              <w:left w:type="dxa" w:w="110"/>
              <w:bottom w:type="dxa" w:w="60"/>
              <w:right w:type="dxa" w:w="110"/>
            </w:tcMar>
          </w:tcPr>
          <w:p>
            <w:pPr>
              <w:spacing w:after="0" w:line="240"/>
              <w:jc w:val="left"/>
            </w:pPr>
            <w:r>
              <w:rPr>
                <w:b w:val="false"/>
                <w:bCs w:val="false"/>
                <w:sz w:val="20"/>
                <w:szCs w:val="20"/>
              </w:rPr>
              <w:t xml:space="preserve">5</w:t>
            </w:r>
          </w:p>
        </w:tc>
        <w:tc>
          <w:tcPr>
            <w:tcW w:type="dxa" w:w="1350"/>
            <w:tcMar>
              <w:top w:type="dxa" w:w="60"/>
              <w:left w:type="dxa" w:w="110"/>
              <w:bottom w:type="dxa" w:w="60"/>
              <w:right w:type="dxa" w:w="110"/>
            </w:tcMar>
          </w:tcPr>
          <w:p>
            <w:pPr>
              <w:spacing w:after="0" w:line="240"/>
              <w:jc w:val="left"/>
            </w:pPr>
            <w:r>
              <w:rPr>
                <w:b w:val="false"/>
                <w:bCs w:val="false"/>
                <w:sz w:val="20"/>
                <w:szCs w:val="20"/>
              </w:rPr>
              <w:t xml:space="preserve">10105</w:t>
            </w:r>
          </w:p>
        </w:tc>
        <w:tc>
          <w:tcPr>
            <w:tcW w:type="dxa" w:w="2500"/>
            <w:tcMar>
              <w:top w:type="dxa" w:w="60"/>
              <w:left w:type="dxa" w:w="110"/>
              <w:bottom w:type="dxa" w:w="60"/>
              <w:right w:type="dxa" w:w="110"/>
            </w:tcMar>
          </w:tcPr>
          <w:p>
            <w:pPr>
              <w:spacing w:after="0" w:line="240"/>
              <w:jc w:val="left"/>
            </w:pPr>
            <w:r>
              <w:rPr>
                <w:b w:val="false"/>
                <w:bCs w:val="false"/>
                <w:sz w:val="20"/>
                <w:szCs w:val="20"/>
              </w:rPr>
              <w:t xml:space="preserve">1958 / 4227 / 3360 / 560</w:t>
            </w:r>
          </w:p>
        </w:tc>
        <w:tc>
          <w:tcPr>
            <w:tcW w:type="dxa" w:w="2700"/>
            <w:tcMar>
              <w:top w:type="dxa" w:w="60"/>
              <w:left w:type="dxa" w:w="110"/>
              <w:bottom w:type="dxa" w:w="60"/>
              <w:right w:type="dxa" w:w="110"/>
            </w:tcMar>
          </w:tcPr>
          <w:p>
            <w:pPr>
              <w:spacing w:after="0" w:line="240"/>
              <w:jc w:val="left"/>
            </w:pPr>
            <w:r>
              <w:rPr>
                <w:b w:val="false"/>
                <w:bCs w:val="false"/>
                <w:sz w:val="20"/>
                <w:szCs w:val="20"/>
              </w:rPr>
              <w:t xml:space="preserve">6891</w:t>
            </w:r>
          </w:p>
        </w:tc>
        <w:tc>
          <w:tcPr>
            <w:tcW w:type="dxa" w:w="1660"/>
            <w:tcMar>
              <w:top w:type="dxa" w:w="60"/>
              <w:left w:type="dxa" w:w="110"/>
              <w:bottom w:type="dxa" w:w="60"/>
              <w:right w:type="dxa" w:w="110"/>
            </w:tcMar>
          </w:tcPr>
          <w:p>
            <w:pPr>
              <w:spacing w:after="0" w:line="240"/>
              <w:jc w:val="left"/>
            </w:pPr>
            <w:r>
              <w:rPr>
                <w:b w:val="false"/>
                <w:bCs w:val="false"/>
                <w:sz w:val="20"/>
                <w:szCs w:val="20"/>
              </w:rPr>
              <w:t xml:space="preserve">68,2 %</w:t>
            </w:r>
          </w:p>
        </w:tc>
      </w:tr>
    </w:tbl>
    <w:p>
      <w:pPr>
        <w:spacing w:after="220" w:before="90"/>
        <w:jc w:val="left"/>
      </w:pPr>
      <w:r>
        <w:rPr>
          <w:sz w:val="19"/>
          <w:szCs w:val="19"/>
        </w:rPr>
        <w:t xml:space="preserve">Tabla 1. Grados de libertad por situación (estado y estado anterior). Un punto de decisión real exige al menos dos jugadas disponibles y que no todas conduzcan a la misma distancia de la meta.</w:t>
      </w:r>
    </w:p>
    <w:p>
      <w:pPr>
        <w:spacing w:after="140" w:before="0" w:line="276"/>
        <w:jc w:val="both"/>
      </w:pPr>
      <w:r>
        <w:t xml:space="preserve">En el tablero de cinco pares, 1958 de las 10105 situaciones —un 19,4 %— ofrecen una única jugada: el aprendiz no decide, ejecuta. Y solo un 68,2 % constituye un punto de decisión real. Casi un tercio de los movimientos, por tanto, no informa sobre la calidad de la toma de decisiones, y promediarlos junto a los demás introduciría ruido sistemático.</w:t>
      </w:r>
    </w:p>
    <w:p>
      <w:pPr>
        <w:spacing w:after="140" w:before="0" w:line="276"/>
        <w:jc w:val="both"/>
      </w:pPr>
      <w:r>
        <w:t xml:space="preserve">Esta constatación es la que justifica formalmente la objeción del director y es el eje sobre el que se construyen las ecuaciones siguientes.</w:t>
      </w:r>
    </w:p>
    <w:p>
      <w:pPr>
        <w:pStyle w:val="Heading1"/>
        <w:spacing w:after="160" w:before="360"/>
        <w:jc w:val="left"/>
      </w:pPr>
      <w:r>
        <w:rPr>
          <w:b/>
          <w:bCs/>
          <w:sz w:val="26"/>
          <w:szCs w:val="26"/>
        </w:rPr>
        <w:t xml:space="preserve">5. Ecuaciones propuestas</w:t>
      </w:r>
    </w:p>
    <w:p>
      <w:pPr>
        <w:spacing w:after="140" w:before="0" w:line="276"/>
        <w:jc w:val="both"/>
      </w:pPr>
      <w:r>
        <w:t xml:space="preserve">Notación. El recorrido de un intento es un paseo sobre el grafo, </w:t>
      </w:r>
      <w:r>
        <w:rPr>
          <w:i/>
          <w:iCs/>
        </w:rPr>
        <w:t xml:space="preserve">W = (s</w:t>
      </w:r>
      <w:r>
        <w:rPr>
          <w:i/>
          <w:iCs/>
          <w:vertAlign w:val="subscript"/>
        </w:rPr>
        <w:t xml:space="preserve">0</w:t>
      </w:r>
      <w:r>
        <w:rPr>
          <w:i/>
          <w:iCs/>
        </w:rPr>
        <w:t xml:space="preserve">, s</w:t>
      </w:r>
      <w:r>
        <w:rPr>
          <w:i/>
          <w:iCs/>
          <w:vertAlign w:val="subscript"/>
        </w:rPr>
        <w:t xml:space="preserve">1</w:t>
      </w:r>
      <w:r>
        <w:rPr>
          <w:i/>
          <w:iCs/>
        </w:rPr>
        <w:t xml:space="preserve">, …, s</w:t>
      </w:r>
      <w:r>
        <w:rPr>
          <w:i/>
          <w:iCs/>
          <w:vertAlign w:val="subscript"/>
        </w:rPr>
        <w:t xml:space="preserve">L</w:t>
      </w:r>
      <w:r>
        <w:rPr>
          <w:i/>
          <w:iCs/>
        </w:rPr>
        <w:t xml:space="preserve">)</w:t>
      </w:r>
      <w:r>
        <w:t xml:space="preserve">. Se escribe </w:t>
      </w:r>
      <w:r>
        <w:rPr>
          <w:i/>
          <w:iCs/>
        </w:rPr>
        <w:t xml:space="preserve">d(s)</w:t>
      </w:r>
      <w:r>
        <w:t xml:space="preserve"> para la distancia mínima desde el estado </w:t>
      </w:r>
      <w:r>
        <w:rPr>
          <w:i/>
          <w:iCs/>
        </w:rPr>
        <w:t xml:space="preserve">s</w:t>
      </w:r>
      <w:r>
        <w:t xml:space="preserve"> hasta la meta respetando las reglas, </w:t>
      </w:r>
      <w:r>
        <w:rPr>
          <w:i/>
          <w:iCs/>
        </w:rPr>
        <w:t xml:space="preserve">D*(n) = n² + 2n</w:t>
      </w:r>
      <w:r>
        <w:t xml:space="preserve"> para la ruta óptima del ejercicio de </w:t>
      </w:r>
      <w:r>
        <w:rPr>
          <w:i/>
          <w:iCs/>
        </w:rPr>
        <w:t xml:space="preserve">n</w:t>
      </w:r>
      <w:r>
        <w:t xml:space="preserve"> pares, </w:t>
      </w:r>
      <w:r>
        <w:rPr>
          <w:i/>
          <w:iCs/>
        </w:rPr>
        <w:t xml:space="preserve">V(W)</w:t>
      </w:r>
      <w:r>
        <w:t xml:space="preserve"> para los estados distintos visitados y </w:t>
      </w:r>
      <w:r>
        <w:rPr>
          <w:i/>
          <w:iCs/>
        </w:rPr>
        <w:t xml:space="preserve">E(W)</w:t>
      </w:r>
      <w:r>
        <w:t xml:space="preserve"> para las aristas distintas recorridas.</w:t>
      </w:r>
    </w:p>
    <w:p>
      <w:pPr>
        <w:pStyle w:val="Heading2"/>
        <w:spacing w:after="110" w:before="240"/>
        <w:jc w:val="left"/>
      </w:pPr>
      <w:r>
        <w:rPr>
          <w:b/>
          <w:bCs/>
          <w:i/>
          <w:iCs/>
          <w:sz w:val="23"/>
          <w:szCs w:val="23"/>
        </w:rPr>
        <w:t xml:space="preserve">5.1. Grados de libertad y punto de decisión</w:t>
      </w:r>
    </w:p>
    <w:p>
      <w:pPr>
        <w:spacing w:after="140" w:before="0" w:line="276"/>
        <w:jc w:val="both"/>
      </w:pPr>
      <w:r>
        <w:t xml:space="preserve">Sea </w:t>
      </w:r>
      <w:r>
        <w:rPr>
          <w:i/>
          <w:iCs/>
        </w:rPr>
        <w:t xml:space="preserve">A</w:t>
      </w:r>
      <w:r>
        <w:rPr>
          <w:i/>
          <w:iCs/>
          <w:vertAlign w:val="subscript"/>
        </w:rPr>
        <w:t xml:space="preserve">k</w:t>
      </w:r>
      <w:r>
        <w:t xml:space="preserve"> el conjunto de jugadas legales disponibles antes del movimiento </w:t>
      </w:r>
      <w:r>
        <w:rPr>
          <w:i/>
          <w:iCs/>
        </w:rPr>
        <w:t xml:space="preserve">k</w:t>
      </w:r>
      <w:r>
        <w:t xml:space="preserve">. El grado de libertad es su cardinal:</w:t>
      </w:r>
    </w:p>
    <w:p>
      <w:pPr>
        <w:spacing w:after="170" w:before="170"/>
        <w:jc w:val="center"/>
      </w:pPr>
      <w:r>
        <w:rPr>
          <w:i/>
          <w:iCs/>
        </w:rPr>
        <w:t xml:space="preserve">δ</w:t>
      </w:r>
      <w:r>
        <w:rPr>
          <w:i/>
          <w:iCs/>
          <w:vertAlign w:val="subscript"/>
        </w:rPr>
        <w:t xml:space="preserve">k</w:t>
      </w:r>
      <w:r>
        <w:rPr>
          <w:i/>
          <w:iCs/>
        </w:rPr>
        <w:t xml:space="preserve">  =  | A</w:t>
      </w:r>
      <w:r>
        <w:rPr>
          <w:i/>
          <w:iCs/>
          <w:vertAlign w:val="subscript"/>
        </w:rPr>
        <w:t xml:space="preserve">k</w:t>
      </w:r>
      <w:r>
        <w:rPr>
          <w:i/>
          <w:iCs/>
        </w:rPr>
        <w:t xml:space="preserve"> |</w:t>
      </w:r>
    </w:p>
    <w:p>
      <w:pPr>
        <w:spacing w:after="140" w:before="0" w:line="276"/>
        <w:jc w:val="both"/>
      </w:pPr>
      <w:r>
        <w:t xml:space="preserve">Para cada jugada disponible puede calcularse la distancia a la meta que dejaría. Sean </w:t>
      </w:r>
      <w:r>
        <w:rPr>
          <w:i/>
          <w:iCs/>
        </w:rPr>
        <w:t xml:space="preserve">d</w:t>
      </w:r>
      <w:r>
        <w:rPr>
          <w:i/>
          <w:iCs/>
          <w:vertAlign w:val="subscript"/>
        </w:rPr>
        <w:t xml:space="preserve">k,mín</w:t>
      </w:r>
      <w:r>
        <w:t xml:space="preserve"> y </w:t>
      </w:r>
      <w:r>
        <w:rPr>
          <w:i/>
          <w:iCs/>
        </w:rPr>
        <w:t xml:space="preserve">d</w:t>
      </w:r>
      <w:r>
        <w:rPr>
          <w:i/>
          <w:iCs/>
          <w:vertAlign w:val="subscript"/>
        </w:rPr>
        <w:t xml:space="preserve">k,máx</w:t>
      </w:r>
      <w:r>
        <w:t xml:space="preserve"> la menor y la mayor de esas distancias. El movimiento </w:t>
      </w:r>
      <w:r>
        <w:rPr>
          <w:i/>
          <w:iCs/>
        </w:rPr>
        <w:t xml:space="preserve">k</w:t>
      </w:r>
      <w:r>
        <w:t xml:space="preserve"> constituye un </w:t>
      </w:r>
      <w:r>
        <w:rPr>
          <w:b/>
          <w:bCs/>
        </w:rPr>
        <w:t xml:space="preserve">punto de decisión</w:t>
      </w:r>
      <w:r>
        <w:t xml:space="preserve"> si y solo si</w:t>
      </w:r>
    </w:p>
    <w:p>
      <w:pPr>
        <w:spacing w:after="170" w:before="170"/>
        <w:jc w:val="center"/>
      </w:pPr>
      <w:r>
        <w:rPr>
          <w:i/>
          <w:iCs/>
        </w:rPr>
        <w:t xml:space="preserve">δ</w:t>
      </w:r>
      <w:r>
        <w:rPr>
          <w:i/>
          <w:iCs/>
          <w:vertAlign w:val="subscript"/>
        </w:rPr>
        <w:t xml:space="preserve">k</w:t>
      </w:r>
      <w:r>
        <w:rPr>
          <w:i/>
          <w:iCs/>
        </w:rPr>
        <w:t xml:space="preserve"> ≥ 2    y    d</w:t>
      </w:r>
      <w:r>
        <w:rPr>
          <w:i/>
          <w:iCs/>
          <w:vertAlign w:val="subscript"/>
        </w:rPr>
        <w:t xml:space="preserve">k,máx</w:t>
      </w:r>
      <w:r>
        <w:rPr>
          <w:i/>
          <w:iCs/>
        </w:rPr>
        <w:t xml:space="preserve"> &gt; d</w:t>
      </w:r>
      <w:r>
        <w:rPr>
          <w:i/>
          <w:iCs/>
          <w:vertAlign w:val="subscript"/>
        </w:rPr>
        <w:t xml:space="preserve">k,mín</w:t>
      </w:r>
    </w:p>
    <w:p>
      <w:pPr>
        <w:spacing w:after="140" w:before="0" w:line="276"/>
        <w:jc w:val="both"/>
      </w:pPr>
      <w:r>
        <w:t xml:space="preserve">Es decir, si había más de una opción y no todas eran equivalentes. El conjunto de puntos de decisión de un intento se denota K.</w:t>
      </w:r>
    </w:p>
    <w:p>
      <w:pPr>
        <w:pStyle w:val="Heading2"/>
        <w:spacing w:after="110" w:before="240"/>
        <w:jc w:val="left"/>
      </w:pPr>
      <w:r>
        <w:rPr>
          <w:b/>
          <w:bCs/>
          <w:i/>
          <w:iCs/>
          <w:sz w:val="23"/>
          <w:szCs w:val="23"/>
        </w:rPr>
        <w:t xml:space="preserve">5.2. Calidad del movimiento</w:t>
      </w:r>
    </w:p>
    <w:p>
      <w:pPr>
        <w:spacing w:after="140" w:before="0" w:line="276"/>
        <w:jc w:val="both"/>
      </w:pPr>
      <w:r>
        <w:t xml:space="preserve">En cada punto de decisión, la calidad se mide como la posición relativa del resultado obtenido dentro del rango de resultados que estaban disponibles:</w:t>
      </w:r>
    </w:p>
    <w:p>
      <w:pPr>
        <w:spacing w:after="170" w:before="170"/>
        <w:jc w:val="center"/>
      </w:pPr>
      <w:r>
        <w:rPr>
          <w:i/>
          <w:iCs/>
        </w:rPr>
        <w:t xml:space="preserve">C</w:t>
      </w:r>
      <w:r>
        <w:rPr>
          <w:i/>
          <w:iCs/>
          <w:vertAlign w:val="subscript"/>
        </w:rPr>
        <w:t xml:space="preserve">k</w:t>
      </w:r>
      <w:r>
        <w:rPr>
          <w:i/>
          <w:iCs/>
        </w:rPr>
        <w:t xml:space="preserve">  =  [ d(s</w:t>
      </w:r>
      <w:r>
        <w:rPr>
          <w:i/>
          <w:iCs/>
          <w:vertAlign w:val="subscript"/>
        </w:rPr>
        <w:t xml:space="preserve">k</w:t>
      </w:r>
      <w:r>
        <w:rPr>
          <w:i/>
          <w:iCs/>
        </w:rPr>
        <w:t xml:space="preserve">) − d</w:t>
      </w:r>
      <w:r>
        <w:rPr>
          <w:i/>
          <w:iCs/>
          <w:vertAlign w:val="subscript"/>
        </w:rPr>
        <w:t xml:space="preserve">k,mín</w:t>
      </w:r>
      <w:r>
        <w:rPr>
          <w:i/>
          <w:iCs/>
        </w:rPr>
        <w:t xml:space="preserve"> ]  /  [ d</w:t>
      </w:r>
      <w:r>
        <w:rPr>
          <w:i/>
          <w:iCs/>
          <w:vertAlign w:val="subscript"/>
        </w:rPr>
        <w:t xml:space="preserve">k,máx</w:t>
      </w:r>
      <w:r>
        <w:rPr>
          <w:i/>
          <w:iCs/>
        </w:rPr>
        <w:t xml:space="preserve"> − d</w:t>
      </w:r>
      <w:r>
        <w:rPr>
          <w:i/>
          <w:iCs/>
          <w:vertAlign w:val="subscript"/>
        </w:rPr>
        <w:t xml:space="preserve">k,mín</w:t>
      </w:r>
      <w:r>
        <w:rPr>
          <w:i/>
          <w:iCs/>
        </w:rPr>
        <w:t xml:space="preserve"> ]</w:t>
      </w:r>
    </w:p>
    <w:p>
      <w:pPr>
        <w:spacing w:after="140" w:before="0" w:line="276"/>
        <w:jc w:val="both"/>
      </w:pPr>
      <w:r>
        <w:t xml:space="preserve">La expresión toma valores en el intervalo cerrado de 0 a 1: vale 0 cuando el aprendiz eligió la mejor jugada posible y 1 cuando eligió la peor. Está indefinida exactamente cuando no hubo decisión, y en ese caso el movimiento se excluye en lugar de contarse como acierto. El denominador es, literalmente, la amplitud de los grados de libertad de esa posición, que es lo que el director proponía.</w:t>
      </w:r>
    </w:p>
    <w:p>
      <w:pPr>
        <w:pStyle w:val="Heading2"/>
        <w:spacing w:after="110" w:before="240"/>
        <w:jc w:val="left"/>
      </w:pPr>
      <w:r>
        <w:rPr>
          <w:b/>
          <w:bCs/>
          <w:i/>
          <w:iCs/>
          <w:sz w:val="23"/>
          <w:szCs w:val="23"/>
        </w:rPr>
        <w:t xml:space="preserve">5.3. Ramificación por intento</w:t>
      </w:r>
    </w:p>
    <w:p>
      <w:pPr>
        <w:spacing w:after="140" w:before="0" w:line="276"/>
        <w:jc w:val="both"/>
      </w:pPr>
      <w:r>
        <w:t xml:space="preserve">Se sustituye la suma por el promedio sobre los puntos de decisión:</w:t>
      </w:r>
    </w:p>
    <w:p>
      <w:pPr>
        <w:spacing w:after="170" w:before="170"/>
        <w:jc w:val="center"/>
      </w:pPr>
      <w:r>
        <w:rPr>
          <w:i/>
          <w:iCs/>
        </w:rPr>
        <w:t xml:space="preserve">R</w:t>
      </w:r>
      <w:r>
        <w:rPr>
          <w:i/>
          <w:iCs/>
          <w:vertAlign w:val="subscript"/>
        </w:rPr>
        <w:t xml:space="preserve">i</w:t>
      </w:r>
      <w:r>
        <w:rPr>
          <w:i/>
          <w:iCs/>
        </w:rPr>
        <w:t xml:space="preserve">  =  ( 1 / |K| ) · Σ</w:t>
      </w:r>
      <w:r>
        <w:rPr>
          <w:i/>
          <w:iCs/>
          <w:vertAlign w:val="subscript"/>
        </w:rPr>
        <w:t xml:space="preserve">k ∈ K</w:t>
      </w:r>
      <w:r>
        <w:rPr>
          <w:i/>
          <w:iCs/>
        </w:rPr>
        <w:t xml:space="preserve"> C</w:t>
      </w:r>
      <w:r>
        <w:rPr>
          <w:i/>
          <w:iCs/>
          <w:vertAlign w:val="subscript"/>
        </w:rPr>
        <w:t xml:space="preserve">k</w:t>
      </w:r>
    </w:p>
    <w:p>
      <w:pPr>
        <w:spacing w:after="140" w:before="0" w:line="276"/>
        <w:jc w:val="both"/>
      </w:pPr>
      <w:r>
        <w:t xml:space="preserve">El resultado está acotado entre 0 y 1, no crece con la longitud del intento y es comparable entre ejercicios de distinto tamaño y entre participantes. Se acompaña de dos indicadores complementarios. La tasa de acierto en puntos críticos:</w:t>
      </w:r>
    </w:p>
    <w:p>
      <w:pPr>
        <w:spacing w:after="170" w:before="170"/>
        <w:jc w:val="center"/>
      </w:pPr>
      <w:r>
        <w:rPr>
          <w:i/>
          <w:iCs/>
        </w:rPr>
        <w:t xml:space="preserve">α</w:t>
      </w:r>
      <w:r>
        <w:rPr>
          <w:i/>
          <w:iCs/>
          <w:vertAlign w:val="subscript"/>
        </w:rPr>
        <w:t xml:space="preserve">i</w:t>
      </w:r>
      <w:r>
        <w:rPr>
          <w:i/>
          <w:iCs/>
        </w:rPr>
        <w:t xml:space="preserve">  =  | { k ∈ K : C</w:t>
      </w:r>
      <w:r>
        <w:rPr>
          <w:i/>
          <w:iCs/>
          <w:vertAlign w:val="subscript"/>
        </w:rPr>
        <w:t xml:space="preserve">k</w:t>
      </w:r>
      <w:r>
        <w:rPr>
          <w:i/>
          <w:iCs/>
        </w:rPr>
        <w:t xml:space="preserve"> = 0 } |  /  |K|</w:t>
      </w:r>
    </w:p>
    <w:p>
      <w:pPr>
        <w:spacing w:after="140" w:before="0" w:line="276"/>
        <w:jc w:val="both"/>
      </w:pPr>
      <w:r>
        <w:t xml:space="preserve">Y el grado de libertad medio del recorrido, que es el factor de ramificación del trayecto en el sentido habitual de la búsqueda en espacios de estados:</w:t>
      </w:r>
    </w:p>
    <w:p>
      <w:pPr>
        <w:spacing w:after="170" w:before="170"/>
        <w:jc w:val="center"/>
      </w:pPr>
      <w:r>
        <w:rPr>
          <w:i/>
          <w:iCs/>
        </w:rPr>
        <w:t xml:space="preserve">δ̄</w:t>
      </w:r>
      <w:r>
        <w:rPr>
          <w:i/>
          <w:iCs/>
          <w:vertAlign w:val="subscript"/>
        </w:rPr>
        <w:t xml:space="preserve">i</w:t>
      </w:r>
      <w:r>
        <w:rPr>
          <w:i/>
          <w:iCs/>
        </w:rPr>
        <w:t xml:space="preserve">  =  ( 1 / L</w:t>
      </w:r>
      <w:r>
        <w:rPr>
          <w:i/>
          <w:iCs/>
          <w:vertAlign w:val="subscript"/>
        </w:rPr>
        <w:t xml:space="preserve">i</w:t>
      </w:r>
      <w:r>
        <w:rPr>
          <w:i/>
          <w:iCs/>
        </w:rPr>
        <w:t xml:space="preserve"> ) · Σ</w:t>
      </w:r>
      <w:r>
        <w:rPr>
          <w:i/>
          <w:iCs/>
          <w:vertAlign w:val="subscript"/>
        </w:rPr>
        <w:t xml:space="preserve">k</w:t>
      </w:r>
      <w:r>
        <w:rPr>
          <w:i/>
          <w:iCs/>
        </w:rPr>
        <w:t xml:space="preserve"> δ</w:t>
      </w:r>
      <w:r>
        <w:rPr>
          <w:i/>
          <w:iCs/>
          <w:vertAlign w:val="subscript"/>
        </w:rPr>
        <w:t xml:space="preserve">k</w:t>
      </w:r>
    </w:p>
    <w:p>
      <w:pPr>
        <w:spacing w:after="140" w:before="0" w:line="276"/>
        <w:jc w:val="both"/>
      </w:pPr>
      <w:r>
        <w:t xml:space="preserve">La objeción del director sobre que "los primeros movimientos sean perfectos y los otros no" se atiende reportando, además del promedio, el </w:t>
      </w:r>
      <w:r>
        <w:rPr>
          <w:i/>
          <w:iCs/>
        </w:rPr>
        <w:t xml:space="preserve">perfil</w:t>
      </w:r>
      <w:r>
        <w:t xml:space="preserve"> de la secuencia de valores a lo largo del intento. El promedio resume; el perfil muestra en qué tramo se concentraron los errores. Ambos se obtienen del mismo cálculo.</w:t>
      </w:r>
    </w:p>
    <w:p>
      <w:pPr>
        <w:pStyle w:val="Heading2"/>
        <w:spacing w:after="110" w:before="240"/>
        <w:jc w:val="left"/>
      </w:pPr>
      <w:r>
        <w:rPr>
          <w:b/>
          <w:bCs/>
          <w:i/>
          <w:iCs/>
          <w:sz w:val="23"/>
          <w:szCs w:val="23"/>
        </w:rPr>
        <w:t xml:space="preserve">5.4. Circuidad de la ruta</w:t>
      </w:r>
    </w:p>
    <w:p>
      <w:pPr>
        <w:spacing w:after="140" w:before="0" w:line="276"/>
        <w:jc w:val="both"/>
      </w:pPr>
      <w:r>
        <w:t xml:space="preserve">Siguiendo la definición del factor de ruta en redes espaciales:</w:t>
      </w:r>
    </w:p>
    <w:p>
      <w:pPr>
        <w:spacing w:after="170" w:before="170"/>
        <w:jc w:val="center"/>
      </w:pPr>
      <w:r>
        <w:rPr>
          <w:i/>
          <w:iCs/>
        </w:rPr>
        <w:t xml:space="preserve">Q</w:t>
      </w:r>
      <w:r>
        <w:rPr>
          <w:i/>
          <w:iCs/>
          <w:vertAlign w:val="subscript"/>
        </w:rPr>
        <w:t xml:space="preserve">i</w:t>
      </w:r>
      <w:r>
        <w:rPr>
          <w:i/>
          <w:iCs/>
        </w:rPr>
        <w:t xml:space="preserve">  =  L</w:t>
      </w:r>
      <w:r>
        <w:rPr>
          <w:i/>
          <w:iCs/>
          <w:vertAlign w:val="subscript"/>
        </w:rPr>
        <w:t xml:space="preserve">i</w:t>
      </w:r>
      <w:r>
        <w:rPr>
          <w:i/>
          <w:iCs/>
        </w:rPr>
        <w:t xml:space="preserve">  /  D*(n)</w:t>
      </w:r>
    </w:p>
    <w:p>
      <w:pPr>
        <w:spacing w:after="140" w:before="0" w:line="276"/>
        <w:jc w:val="both"/>
      </w:pPr>
      <w:r>
        <w:t xml:space="preserve">Vale 1 en una partida óptima y crece con el rodeo. Es la magnitud que un sistema de navegación reportaría y, al ser un cociente, resulta directamente comparable entre ejercicios de uno a cinco pares.</w:t>
      </w:r>
    </w:p>
    <w:p>
      <w:pPr>
        <w:pStyle w:val="Heading2"/>
        <w:spacing w:after="110" w:before="240"/>
        <w:jc w:val="left"/>
      </w:pPr>
      <w:r>
        <w:rPr>
          <w:b/>
          <w:bCs/>
          <w:i/>
          <w:iCs/>
          <w:sz w:val="23"/>
          <w:szCs w:val="23"/>
        </w:rPr>
        <w:t xml:space="preserve">5.5. Buclicidad</w:t>
      </w:r>
    </w:p>
    <w:p>
      <w:pPr>
        <w:spacing w:after="140" w:before="0" w:line="276"/>
        <w:jc w:val="both"/>
      </w:pPr>
      <w:r>
        <w:t xml:space="preserve">Construida sobre el recorrido, sin heredar la ecuación anterior. El número de retornos a estados ya visitados:</w:t>
      </w:r>
    </w:p>
    <w:p>
      <w:pPr>
        <w:spacing w:after="170" w:before="170"/>
        <w:jc w:val="center"/>
      </w:pPr>
      <w:r>
        <w:rPr>
          <w:i/>
          <w:iCs/>
        </w:rPr>
        <w:t xml:space="preserve">ν</w:t>
      </w:r>
      <w:r>
        <w:rPr>
          <w:i/>
          <w:iCs/>
          <w:vertAlign w:val="subscript"/>
        </w:rPr>
        <w:t xml:space="preserve">i</w:t>
      </w:r>
      <w:r>
        <w:rPr>
          <w:i/>
          <w:iCs/>
        </w:rPr>
        <w:t xml:space="preserve">  =  ( L</w:t>
      </w:r>
      <w:r>
        <w:rPr>
          <w:i/>
          <w:iCs/>
          <w:vertAlign w:val="subscript"/>
        </w:rPr>
        <w:t xml:space="preserve">i</w:t>
      </w:r>
      <w:r>
        <w:rPr>
          <w:i/>
          <w:iCs/>
        </w:rPr>
        <w:t xml:space="preserve"> + 1 )  −  | V(W</w:t>
      </w:r>
      <w:r>
        <w:rPr>
          <w:i/>
          <w:iCs/>
          <w:vertAlign w:val="subscript"/>
        </w:rPr>
        <w:t xml:space="preserve">i</w:t>
      </w:r>
      <w:r>
        <w:rPr>
          <w:i/>
          <w:iCs/>
        </w:rPr>
        <w:t xml:space="preserve">) |</w:t>
      </w:r>
    </w:p>
    <w:p>
      <w:pPr>
        <w:spacing w:after="140" w:before="0" w:line="276"/>
        <w:jc w:val="both"/>
      </w:pPr>
      <w:r>
        <w:t xml:space="preserve">Su versión normalizada, que expresa qué proporción de los movimientos condujo a una posición ya conocida:</w:t>
      </w:r>
    </w:p>
    <w:p>
      <w:pPr>
        <w:spacing w:after="170" w:before="170"/>
        <w:jc w:val="center"/>
      </w:pPr>
      <w:r>
        <w:rPr>
          <w:i/>
          <w:iCs/>
        </w:rPr>
        <w:t xml:space="preserve">β</w:t>
      </w:r>
      <w:r>
        <w:rPr>
          <w:i/>
          <w:iCs/>
          <w:vertAlign w:val="subscript"/>
        </w:rPr>
        <w:t xml:space="preserve">i</w:t>
      </w:r>
      <w:r>
        <w:rPr>
          <w:i/>
          <w:iCs/>
        </w:rPr>
        <w:t xml:space="preserve">  =  ν</w:t>
      </w:r>
      <w:r>
        <w:rPr>
          <w:i/>
          <w:iCs/>
          <w:vertAlign w:val="subscript"/>
        </w:rPr>
        <w:t xml:space="preserve">i</w:t>
      </w:r>
      <w:r>
        <w:rPr>
          <w:i/>
          <w:iCs/>
        </w:rPr>
        <w:t xml:space="preserve">  /  L</w:t>
      </w:r>
      <w:r>
        <w:rPr>
          <w:i/>
          <w:iCs/>
          <w:vertAlign w:val="subscript"/>
        </w:rPr>
        <w:t xml:space="preserve">i</w:t>
      </w:r>
    </w:p>
    <w:p>
      <w:pPr>
        <w:spacing w:after="140" w:before="0" w:line="276"/>
        <w:jc w:val="both"/>
      </w:pPr>
      <w:r>
        <w:t xml:space="preserve">Y el número de ciclos independientes efectivamente recorridos, en el sentido de Kirchhoff y McCabe:</w:t>
      </w:r>
    </w:p>
    <w:p>
      <w:pPr>
        <w:spacing w:after="170" w:before="170"/>
        <w:jc w:val="center"/>
      </w:pPr>
      <w:r>
        <w:rPr>
          <w:i/>
          <w:iCs/>
        </w:rPr>
        <w:t xml:space="preserve">μ</w:t>
      </w:r>
      <w:r>
        <w:rPr>
          <w:i/>
          <w:iCs/>
          <w:vertAlign w:val="subscript"/>
        </w:rPr>
        <w:t xml:space="preserve">i</w:t>
      </w:r>
      <w:r>
        <w:rPr>
          <w:i/>
          <w:iCs/>
        </w:rPr>
        <w:t xml:space="preserve">  =  | E(W</w:t>
      </w:r>
      <w:r>
        <w:rPr>
          <w:i/>
          <w:iCs/>
          <w:vertAlign w:val="subscript"/>
        </w:rPr>
        <w:t xml:space="preserve">i</w:t>
      </w:r>
      <w:r>
        <w:rPr>
          <w:i/>
          <w:iCs/>
        </w:rPr>
        <w:t xml:space="preserve">) |  −  | V(W</w:t>
      </w:r>
      <w:r>
        <w:rPr>
          <w:i/>
          <w:iCs/>
          <w:vertAlign w:val="subscript"/>
        </w:rPr>
        <w:t xml:space="preserve">i</w:t>
      </w:r>
      <w:r>
        <w:rPr>
          <w:i/>
          <w:iCs/>
        </w:rPr>
        <w:t xml:space="preserve">) |  +  1</w:t>
      </w:r>
    </w:p>
    <w:p>
      <w:pPr>
        <w:spacing w:after="140" w:before="0" w:line="276"/>
        <w:jc w:val="both"/>
      </w:pPr>
      <w:r>
        <w:t xml:space="preserve">Los dos últimos no son redundantes: un aprendiz que repite diez veces el mismo bucle y otro que recorre diez bucles distintos presentan valores muy diferentes de ciclos independientes aunque su número de retornos sea semejante. La distinción separa el estancamiento de la exploración.</w:t>
      </w:r>
    </w:p>
    <w:p>
      <w:pPr>
        <w:spacing w:after="140" w:before="0" w:line="276"/>
        <w:jc w:val="both"/>
      </w:pPr>
      <w:r>
        <w:t xml:space="preserve">A ello se añade el registro del tamaño de cada bucle. Sobre el grafo del juego se verificó que ningún bucle puede medir menos de seis movimientos, en los cinco tamaños de tablero, lo que coincide con lo que el trabajo fuente había observado.</w:t>
      </w:r>
    </w:p>
    <w:p>
      <w:pPr>
        <w:pStyle w:val="Heading2"/>
        <w:spacing w:after="110" w:before="240"/>
        <w:jc w:val="left"/>
      </w:pPr>
      <w:r>
        <w:rPr>
          <w:b/>
          <w:bCs/>
          <w:i/>
          <w:iCs/>
          <w:sz w:val="23"/>
          <w:szCs w:val="23"/>
        </w:rPr>
        <w:t xml:space="preserve">5.6. Agregación por nivel y por sesión</w:t>
      </w:r>
    </w:p>
    <w:p>
      <w:pPr>
        <w:spacing w:after="140" w:before="0" w:line="276"/>
        <w:jc w:val="both"/>
      </w:pPr>
      <w:r>
        <w:t xml:space="preserve">Todas las magnitudes se promedian sobre los intentos del nivel o de la sesión. La tendencia de esos promedios a lo largo de los intentos constituye la evidencia de aprendizaje que el diseño busca observar: una circuidad que se aproxima a uno, una ramificación que desciende hacia cero y una buclicidad decreciente describen a un aprendiz que consolida su estrategia.</w:t>
      </w:r>
    </w:p>
    <w:p>
      <w:pPr>
        <w:pStyle w:val="Heading1"/>
        <w:spacing w:after="160" w:before="360"/>
        <w:jc w:val="left"/>
      </w:pPr>
      <w:r>
        <w:rPr>
          <w:b/>
          <w:bCs/>
          <w:sz w:val="26"/>
          <w:szCs w:val="26"/>
        </w:rPr>
        <w:t xml:space="preserve">6. Verificación</w:t>
      </w:r>
    </w:p>
    <w:p>
      <w:pPr>
        <w:spacing w:after="140" w:before="0" w:line="276"/>
        <w:jc w:val="both"/>
      </w:pPr>
      <w:r>
        <w:t xml:space="preserve">Las ecuaciones se aplicaron a cuatro trayectorias sobre el tablero de cinco pares: la ruta óptima y tres partidas con grados crecientes de exploración, todas terminadas en victoria. La Tabla 2 recoge los resultados.</w:t>
      </w:r>
    </w:p>
    <w:tbl>
      <w:tblPr>
        <w:tblW w:type="dxa" w:w="9360"/>
        <w:tblBorders>
          <w:top w:val="single" w:color="000000" w:sz="6"/>
          <w:left w:val="none"/>
          <w:bottom w:val="single" w:color="000000" w:sz="6"/>
          <w:right w:val="none"/>
          <w:insideH w:val="single" w:color="AAAAAA" w:sz="2"/>
          <w:insideV w:val="none"/>
        </w:tblBorders>
      </w:tblPr>
      <w:tblGrid>
        <w:gridCol w:w="1900"/>
        <w:gridCol w:w="700"/>
        <w:gridCol w:w="1000"/>
        <w:gridCol w:w="1000"/>
        <w:gridCol w:w="1150"/>
        <w:gridCol w:w="1200"/>
        <w:gridCol w:w="1000"/>
        <w:gridCol w:w="1410"/>
      </w:tblGrid>
      <w:tr>
        <w:trPr>
          <w:tblHeader/>
        </w:trPr>
        <w:tc>
          <w:tcPr>
            <w:tcW w:type="dxa" w:w="1900"/>
            <w:shd w:fill="EFEFEF" w:color="auto" w:val="clear"/>
            <w:tcMar>
              <w:top w:type="dxa" w:w="60"/>
              <w:left w:type="dxa" w:w="110"/>
              <w:bottom w:type="dxa" w:w="60"/>
              <w:right w:type="dxa" w:w="110"/>
            </w:tcMar>
          </w:tcPr>
          <w:p>
            <w:pPr>
              <w:spacing w:after="0" w:line="240"/>
              <w:jc w:val="left"/>
            </w:pPr>
            <w:r>
              <w:rPr>
                <w:b/>
                <w:bCs/>
                <w:sz w:val="20"/>
                <w:szCs w:val="20"/>
              </w:rPr>
              <w:t xml:space="preserve">Trayectoria</w:t>
            </w:r>
          </w:p>
        </w:tc>
        <w:tc>
          <w:tcPr>
            <w:tcW w:type="dxa" w:w="700"/>
            <w:shd w:fill="EFEFEF" w:color="auto" w:val="clear"/>
            <w:tcMar>
              <w:top w:type="dxa" w:w="60"/>
              <w:left w:type="dxa" w:w="110"/>
              <w:bottom w:type="dxa" w:w="60"/>
              <w:right w:type="dxa" w:w="110"/>
            </w:tcMar>
          </w:tcPr>
          <w:p>
            <w:pPr>
              <w:spacing w:after="0" w:line="240"/>
              <w:jc w:val="left"/>
            </w:pPr>
            <w:r>
              <w:rPr>
                <w:b/>
                <w:bCs/>
                <w:sz w:val="20"/>
                <w:szCs w:val="20"/>
              </w:rPr>
              <w:t xml:space="preserve">L</w:t>
            </w:r>
          </w:p>
        </w:tc>
        <w:tc>
          <w:tcPr>
            <w:tcW w:type="dxa" w:w="1000"/>
            <w:shd w:fill="EFEFEF" w:color="auto" w:val="clear"/>
            <w:tcMar>
              <w:top w:type="dxa" w:w="60"/>
              <w:left w:type="dxa" w:w="110"/>
              <w:bottom w:type="dxa" w:w="60"/>
              <w:right w:type="dxa" w:w="110"/>
            </w:tcMar>
          </w:tcPr>
          <w:p>
            <w:pPr>
              <w:spacing w:after="0" w:line="240"/>
              <w:jc w:val="left"/>
            </w:pPr>
            <w:r>
              <w:rPr>
                <w:b/>
                <w:bCs/>
                <w:sz w:val="20"/>
                <w:szCs w:val="20"/>
              </w:rPr>
              <w:t xml:space="preserve">Q</w:t>
            </w:r>
          </w:p>
        </w:tc>
        <w:tc>
          <w:tcPr>
            <w:tcW w:type="dxa" w:w="1000"/>
            <w:shd w:fill="EFEFEF" w:color="auto" w:val="clear"/>
            <w:tcMar>
              <w:top w:type="dxa" w:w="60"/>
              <w:left w:type="dxa" w:w="110"/>
              <w:bottom w:type="dxa" w:w="60"/>
              <w:right w:type="dxa" w:w="110"/>
            </w:tcMar>
          </w:tcPr>
          <w:p>
            <w:pPr>
              <w:spacing w:after="0" w:line="240"/>
              <w:jc w:val="left"/>
            </w:pPr>
            <w:r>
              <w:rPr>
                <w:b/>
                <w:bCs/>
                <w:sz w:val="20"/>
                <w:szCs w:val="20"/>
              </w:rPr>
              <w:t xml:space="preserve">R</w:t>
            </w:r>
          </w:p>
        </w:tc>
        <w:tc>
          <w:tcPr>
            <w:tcW w:type="dxa" w:w="1150"/>
            <w:shd w:fill="EFEFEF" w:color="auto" w:val="clear"/>
            <w:tcMar>
              <w:top w:type="dxa" w:w="60"/>
              <w:left w:type="dxa" w:w="110"/>
              <w:bottom w:type="dxa" w:w="60"/>
              <w:right w:type="dxa" w:w="110"/>
            </w:tcMar>
          </w:tcPr>
          <w:p>
            <w:pPr>
              <w:spacing w:after="0" w:line="240"/>
              <w:jc w:val="left"/>
            </w:pPr>
            <w:r>
              <w:rPr>
                <w:b/>
                <w:bCs/>
                <w:sz w:val="20"/>
                <w:szCs w:val="20"/>
              </w:rPr>
              <w:t xml:space="preserve">α</w:t>
            </w:r>
          </w:p>
        </w:tc>
        <w:tc>
          <w:tcPr>
            <w:tcW w:type="dxa" w:w="1200"/>
            <w:shd w:fill="EFEFEF" w:color="auto" w:val="clear"/>
            <w:tcMar>
              <w:top w:type="dxa" w:w="60"/>
              <w:left w:type="dxa" w:w="110"/>
              <w:bottom w:type="dxa" w:w="60"/>
              <w:right w:type="dxa" w:w="110"/>
            </w:tcMar>
          </w:tcPr>
          <w:p>
            <w:pPr>
              <w:spacing w:after="0" w:line="240"/>
              <w:jc w:val="left"/>
            </w:pPr>
            <w:r>
              <w:rPr>
                <w:b/>
                <w:bCs/>
                <w:sz w:val="20"/>
                <w:szCs w:val="20"/>
              </w:rPr>
              <w:t xml:space="preserve">Pts. decisión</w:t>
            </w:r>
          </w:p>
        </w:tc>
        <w:tc>
          <w:tcPr>
            <w:tcW w:type="dxa" w:w="1000"/>
            <w:shd w:fill="EFEFEF" w:color="auto" w:val="clear"/>
            <w:tcMar>
              <w:top w:type="dxa" w:w="60"/>
              <w:left w:type="dxa" w:w="110"/>
              <w:bottom w:type="dxa" w:w="60"/>
              <w:right w:type="dxa" w:w="110"/>
            </w:tcMar>
          </w:tcPr>
          <w:p>
            <w:pPr>
              <w:spacing w:after="0" w:line="240"/>
              <w:jc w:val="left"/>
            </w:pPr>
            <w:r>
              <w:rPr>
                <w:b/>
                <w:bCs/>
                <w:sz w:val="20"/>
                <w:szCs w:val="20"/>
              </w:rPr>
              <w:t xml:space="preserve">ν</w:t>
            </w:r>
          </w:p>
        </w:tc>
        <w:tc>
          <w:tcPr>
            <w:tcW w:type="dxa" w:w="1410"/>
            <w:shd w:fill="EFEFEF" w:color="auto" w:val="clear"/>
            <w:tcMar>
              <w:top w:type="dxa" w:w="60"/>
              <w:left w:type="dxa" w:w="110"/>
              <w:bottom w:type="dxa" w:w="60"/>
              <w:right w:type="dxa" w:w="110"/>
            </w:tcMar>
          </w:tcPr>
          <w:p>
            <w:pPr>
              <w:spacing w:after="0" w:line="240"/>
              <w:jc w:val="left"/>
            </w:pPr>
            <w:r>
              <w:rPr>
                <w:b/>
                <w:bCs/>
                <w:sz w:val="20"/>
                <w:szCs w:val="20"/>
              </w:rPr>
              <w:t xml:space="preserve">μ</w:t>
            </w:r>
          </w:p>
        </w:tc>
      </w:tr>
      <w:tr>
        <w:tc>
          <w:tcPr>
            <w:tcW w:type="dxa" w:w="1900"/>
            <w:tcMar>
              <w:top w:type="dxa" w:w="60"/>
              <w:left w:type="dxa" w:w="110"/>
              <w:bottom w:type="dxa" w:w="60"/>
              <w:right w:type="dxa" w:w="110"/>
            </w:tcMar>
          </w:tcPr>
          <w:p>
            <w:pPr>
              <w:spacing w:after="0" w:line="240"/>
              <w:jc w:val="left"/>
            </w:pPr>
            <w:r>
              <w:rPr>
                <w:b w:val="false"/>
                <w:bCs w:val="false"/>
                <w:sz w:val="20"/>
                <w:szCs w:val="20"/>
              </w:rPr>
              <w:t xml:space="preserve">Ruta óptima</w:t>
            </w:r>
          </w:p>
        </w:tc>
        <w:tc>
          <w:tcPr>
            <w:tcW w:type="dxa" w:w="700"/>
            <w:tcMar>
              <w:top w:type="dxa" w:w="60"/>
              <w:left w:type="dxa" w:w="110"/>
              <w:bottom w:type="dxa" w:w="60"/>
              <w:right w:type="dxa" w:w="110"/>
            </w:tcMar>
          </w:tcPr>
          <w:p>
            <w:pPr>
              <w:spacing w:after="0" w:line="240"/>
              <w:jc w:val="left"/>
            </w:pPr>
            <w:r>
              <w:rPr>
                <w:b w:val="false"/>
                <w:bCs w:val="false"/>
                <w:sz w:val="20"/>
                <w:szCs w:val="20"/>
              </w:rPr>
              <w:t xml:space="preserve">35</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1,00</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0,000</w:t>
            </w:r>
          </w:p>
        </w:tc>
        <w:tc>
          <w:tcPr>
            <w:tcW w:type="dxa" w:w="1150"/>
            <w:tcMar>
              <w:top w:type="dxa" w:w="60"/>
              <w:left w:type="dxa" w:w="110"/>
              <w:bottom w:type="dxa" w:w="60"/>
              <w:right w:type="dxa" w:w="110"/>
            </w:tcMar>
          </w:tcPr>
          <w:p>
            <w:pPr>
              <w:spacing w:after="0" w:line="240"/>
              <w:jc w:val="left"/>
            </w:pPr>
            <w:r>
              <w:rPr>
                <w:b w:val="false"/>
                <w:bCs w:val="false"/>
                <w:sz w:val="20"/>
                <w:szCs w:val="20"/>
              </w:rPr>
              <w:t xml:space="preserve">100 %</w:t>
            </w:r>
          </w:p>
        </w:tc>
        <w:tc>
          <w:tcPr>
            <w:tcW w:type="dxa" w:w="1200"/>
            <w:tcMar>
              <w:top w:type="dxa" w:w="60"/>
              <w:left w:type="dxa" w:w="110"/>
              <w:bottom w:type="dxa" w:w="60"/>
              <w:right w:type="dxa" w:w="110"/>
            </w:tcMar>
          </w:tcPr>
          <w:p>
            <w:pPr>
              <w:spacing w:after="0" w:line="240"/>
              <w:jc w:val="left"/>
            </w:pPr>
            <w:r>
              <w:rPr>
                <w:b w:val="false"/>
                <w:bCs w:val="false"/>
                <w:sz w:val="20"/>
                <w:szCs w:val="20"/>
              </w:rPr>
              <w:t xml:space="preserve">24</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w:t>
            </w:r>
          </w:p>
        </w:tc>
        <w:tc>
          <w:tcPr>
            <w:tcW w:type="dxa" w:w="1410"/>
            <w:tcMar>
              <w:top w:type="dxa" w:w="60"/>
              <w:left w:type="dxa" w:w="110"/>
              <w:bottom w:type="dxa" w:w="60"/>
              <w:right w:type="dxa" w:w="110"/>
            </w:tcMar>
          </w:tcPr>
          <w:p>
            <w:pPr>
              <w:spacing w:after="0" w:line="240"/>
              <w:jc w:val="left"/>
            </w:pPr>
            <w:r>
              <w:rPr>
                <w:b w:val="false"/>
                <w:bCs w:val="false"/>
                <w:sz w:val="20"/>
                <w:szCs w:val="20"/>
              </w:rPr>
              <w:t xml:space="preserve">0</w:t>
            </w:r>
          </w:p>
        </w:tc>
      </w:tr>
      <w:tr>
        <w:tc>
          <w:tcPr>
            <w:tcW w:type="dxa" w:w="1900"/>
            <w:tcMar>
              <w:top w:type="dxa" w:w="60"/>
              <w:left w:type="dxa" w:w="110"/>
              <w:bottom w:type="dxa" w:w="60"/>
              <w:right w:type="dxa" w:w="110"/>
            </w:tcMar>
          </w:tcPr>
          <w:p>
            <w:pPr>
              <w:spacing w:after="0" w:line="240"/>
              <w:jc w:val="left"/>
            </w:pPr>
            <w:r>
              <w:rPr>
                <w:b w:val="false"/>
                <w:bCs w:val="false"/>
                <w:sz w:val="20"/>
                <w:szCs w:val="20"/>
              </w:rPr>
              <w:t xml:space="preserve">Pocos rodeos</w:t>
            </w:r>
          </w:p>
        </w:tc>
        <w:tc>
          <w:tcPr>
            <w:tcW w:type="dxa" w:w="700"/>
            <w:tcMar>
              <w:top w:type="dxa" w:w="60"/>
              <w:left w:type="dxa" w:w="110"/>
              <w:bottom w:type="dxa" w:w="60"/>
              <w:right w:type="dxa" w:w="110"/>
            </w:tcMar>
          </w:tcPr>
          <w:p>
            <w:pPr>
              <w:spacing w:after="0" w:line="240"/>
              <w:jc w:val="left"/>
            </w:pPr>
            <w:r>
              <w:rPr>
                <w:b w:val="false"/>
                <w:bCs w:val="false"/>
                <w:sz w:val="20"/>
                <w:szCs w:val="20"/>
              </w:rPr>
              <w:t xml:space="preserve">47</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1,34</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0,125</w:t>
            </w:r>
          </w:p>
        </w:tc>
        <w:tc>
          <w:tcPr>
            <w:tcW w:type="dxa" w:w="1150"/>
            <w:tcMar>
              <w:top w:type="dxa" w:w="60"/>
              <w:left w:type="dxa" w:w="110"/>
              <w:bottom w:type="dxa" w:w="60"/>
              <w:right w:type="dxa" w:w="110"/>
            </w:tcMar>
          </w:tcPr>
          <w:p>
            <w:pPr>
              <w:spacing w:after="0" w:line="240"/>
              <w:jc w:val="left"/>
            </w:pPr>
            <w:r>
              <w:rPr>
                <w:b w:val="false"/>
                <w:bCs w:val="false"/>
                <w:sz w:val="20"/>
                <w:szCs w:val="20"/>
              </w:rPr>
              <w:t xml:space="preserve">88 %</w:t>
            </w:r>
          </w:p>
        </w:tc>
        <w:tc>
          <w:tcPr>
            <w:tcW w:type="dxa" w:w="1200"/>
            <w:tcMar>
              <w:top w:type="dxa" w:w="60"/>
              <w:left w:type="dxa" w:w="110"/>
              <w:bottom w:type="dxa" w:w="60"/>
              <w:right w:type="dxa" w:w="110"/>
            </w:tcMar>
          </w:tcPr>
          <w:p>
            <w:pPr>
              <w:spacing w:after="0" w:line="240"/>
              <w:jc w:val="left"/>
            </w:pPr>
            <w:r>
              <w:rPr>
                <w:b w:val="false"/>
                <w:bCs w:val="false"/>
                <w:sz w:val="20"/>
                <w:szCs w:val="20"/>
              </w:rPr>
              <w:t xml:space="preserve">32</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3</w:t>
            </w:r>
          </w:p>
        </w:tc>
        <w:tc>
          <w:tcPr>
            <w:tcW w:type="dxa" w:w="1410"/>
            <w:tcMar>
              <w:top w:type="dxa" w:w="60"/>
              <w:left w:type="dxa" w:w="110"/>
              <w:bottom w:type="dxa" w:w="60"/>
              <w:right w:type="dxa" w:w="110"/>
            </w:tcMar>
          </w:tcPr>
          <w:p>
            <w:pPr>
              <w:spacing w:after="0" w:line="240"/>
              <w:jc w:val="left"/>
            </w:pPr>
            <w:r>
              <w:rPr>
                <w:b w:val="false"/>
                <w:bCs w:val="false"/>
                <w:sz w:val="20"/>
                <w:szCs w:val="20"/>
              </w:rPr>
              <w:t xml:space="preserve">1</w:t>
            </w:r>
          </w:p>
        </w:tc>
      </w:tr>
      <w:tr>
        <w:tc>
          <w:tcPr>
            <w:tcW w:type="dxa" w:w="1900"/>
            <w:tcMar>
              <w:top w:type="dxa" w:w="60"/>
              <w:left w:type="dxa" w:w="110"/>
              <w:bottom w:type="dxa" w:w="60"/>
              <w:right w:type="dxa" w:w="110"/>
            </w:tcMar>
          </w:tcPr>
          <w:p>
            <w:pPr>
              <w:spacing w:after="0" w:line="240"/>
              <w:jc w:val="left"/>
            </w:pPr>
            <w:r>
              <w:rPr>
                <w:b w:val="false"/>
                <w:bCs w:val="false"/>
                <w:sz w:val="20"/>
                <w:szCs w:val="20"/>
              </w:rPr>
              <w:t xml:space="preserve">Rodeos moderados</w:t>
            </w:r>
          </w:p>
        </w:tc>
        <w:tc>
          <w:tcPr>
            <w:tcW w:type="dxa" w:w="700"/>
            <w:tcMar>
              <w:top w:type="dxa" w:w="60"/>
              <w:left w:type="dxa" w:w="110"/>
              <w:bottom w:type="dxa" w:w="60"/>
              <w:right w:type="dxa" w:w="110"/>
            </w:tcMar>
          </w:tcPr>
          <w:p>
            <w:pPr>
              <w:spacing w:after="0" w:line="240"/>
              <w:jc w:val="left"/>
            </w:pPr>
            <w:r>
              <w:rPr>
                <w:b w:val="false"/>
                <w:bCs w:val="false"/>
                <w:sz w:val="20"/>
                <w:szCs w:val="20"/>
              </w:rPr>
              <w:t xml:space="preserve">57</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1,63</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0,250</w:t>
            </w:r>
          </w:p>
        </w:tc>
        <w:tc>
          <w:tcPr>
            <w:tcW w:type="dxa" w:w="1150"/>
            <w:tcMar>
              <w:top w:type="dxa" w:w="60"/>
              <w:left w:type="dxa" w:w="110"/>
              <w:bottom w:type="dxa" w:w="60"/>
              <w:right w:type="dxa" w:w="110"/>
            </w:tcMar>
          </w:tcPr>
          <w:p>
            <w:pPr>
              <w:spacing w:after="0" w:line="240"/>
              <w:jc w:val="left"/>
            </w:pPr>
            <w:r>
              <w:rPr>
                <w:b w:val="false"/>
                <w:bCs w:val="false"/>
                <w:sz w:val="20"/>
                <w:szCs w:val="20"/>
              </w:rPr>
              <w:t xml:space="preserve">75 %</w:t>
            </w:r>
          </w:p>
        </w:tc>
        <w:tc>
          <w:tcPr>
            <w:tcW w:type="dxa" w:w="1200"/>
            <w:tcMar>
              <w:top w:type="dxa" w:w="60"/>
              <w:left w:type="dxa" w:w="110"/>
              <w:bottom w:type="dxa" w:w="60"/>
              <w:right w:type="dxa" w:w="110"/>
            </w:tcMar>
          </w:tcPr>
          <w:p>
            <w:pPr>
              <w:spacing w:after="0" w:line="240"/>
              <w:jc w:val="left"/>
            </w:pPr>
            <w:r>
              <w:rPr>
                <w:b w:val="false"/>
                <w:bCs w:val="false"/>
                <w:sz w:val="20"/>
                <w:szCs w:val="20"/>
              </w:rPr>
              <w:t xml:space="preserve">36</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w:t>
            </w:r>
          </w:p>
        </w:tc>
        <w:tc>
          <w:tcPr>
            <w:tcW w:type="dxa" w:w="1410"/>
            <w:tcMar>
              <w:top w:type="dxa" w:w="60"/>
              <w:left w:type="dxa" w:w="110"/>
              <w:bottom w:type="dxa" w:w="60"/>
              <w:right w:type="dxa" w:w="110"/>
            </w:tcMar>
          </w:tcPr>
          <w:p>
            <w:pPr>
              <w:spacing w:after="0" w:line="240"/>
              <w:jc w:val="left"/>
            </w:pPr>
            <w:r>
              <w:rPr>
                <w:b w:val="false"/>
                <w:bCs w:val="false"/>
                <w:sz w:val="20"/>
                <w:szCs w:val="20"/>
              </w:rPr>
              <w:t xml:space="preserve">0</w:t>
            </w:r>
          </w:p>
        </w:tc>
      </w:tr>
      <w:tr>
        <w:tc>
          <w:tcPr>
            <w:tcW w:type="dxa" w:w="1900"/>
            <w:tcMar>
              <w:top w:type="dxa" w:w="60"/>
              <w:left w:type="dxa" w:w="110"/>
              <w:bottom w:type="dxa" w:w="60"/>
              <w:right w:type="dxa" w:w="110"/>
            </w:tcMar>
          </w:tcPr>
          <w:p>
            <w:pPr>
              <w:spacing w:after="0" w:line="240"/>
              <w:jc w:val="left"/>
            </w:pPr>
            <w:r>
              <w:rPr>
                <w:b w:val="false"/>
                <w:bCs w:val="false"/>
                <w:sz w:val="20"/>
                <w:szCs w:val="20"/>
              </w:rPr>
              <w:t xml:space="preserve">Exploración amplia</w:t>
            </w:r>
          </w:p>
        </w:tc>
        <w:tc>
          <w:tcPr>
            <w:tcW w:type="dxa" w:w="700"/>
            <w:tcMar>
              <w:top w:type="dxa" w:w="60"/>
              <w:left w:type="dxa" w:w="110"/>
              <w:bottom w:type="dxa" w:w="60"/>
              <w:right w:type="dxa" w:w="110"/>
            </w:tcMar>
          </w:tcPr>
          <w:p>
            <w:pPr>
              <w:spacing w:after="0" w:line="240"/>
              <w:jc w:val="left"/>
            </w:pPr>
            <w:r>
              <w:rPr>
                <w:b w:val="false"/>
                <w:bCs w:val="false"/>
                <w:sz w:val="20"/>
                <w:szCs w:val="20"/>
              </w:rPr>
              <w:t xml:space="preserve">145</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4,14</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0,361</w:t>
            </w:r>
          </w:p>
        </w:tc>
        <w:tc>
          <w:tcPr>
            <w:tcW w:type="dxa" w:w="1150"/>
            <w:tcMar>
              <w:top w:type="dxa" w:w="60"/>
              <w:left w:type="dxa" w:w="110"/>
              <w:bottom w:type="dxa" w:w="60"/>
              <w:right w:type="dxa" w:w="110"/>
            </w:tcMar>
          </w:tcPr>
          <w:p>
            <w:pPr>
              <w:spacing w:after="0" w:line="240"/>
              <w:jc w:val="left"/>
            </w:pPr>
            <w:r>
              <w:rPr>
                <w:b w:val="false"/>
                <w:bCs w:val="false"/>
                <w:sz w:val="20"/>
                <w:szCs w:val="20"/>
              </w:rPr>
              <w:t xml:space="preserve">63 %</w:t>
            </w:r>
          </w:p>
        </w:tc>
        <w:tc>
          <w:tcPr>
            <w:tcW w:type="dxa" w:w="1200"/>
            <w:tcMar>
              <w:top w:type="dxa" w:w="60"/>
              <w:left w:type="dxa" w:w="110"/>
              <w:bottom w:type="dxa" w:w="60"/>
              <w:right w:type="dxa" w:w="110"/>
            </w:tcMar>
          </w:tcPr>
          <w:p>
            <w:pPr>
              <w:spacing w:after="0" w:line="240"/>
              <w:jc w:val="left"/>
            </w:pPr>
            <w:r>
              <w:rPr>
                <w:b w:val="false"/>
                <w:bCs w:val="false"/>
                <w:sz w:val="20"/>
                <w:szCs w:val="20"/>
              </w:rPr>
              <w:t xml:space="preserve">83</w:t>
            </w:r>
          </w:p>
        </w:tc>
        <w:tc>
          <w:tcPr>
            <w:tcW w:type="dxa" w:w="1000"/>
            <w:tcMar>
              <w:top w:type="dxa" w:w="60"/>
              <w:left w:type="dxa" w:w="110"/>
              <w:bottom w:type="dxa" w:w="60"/>
              <w:right w:type="dxa" w:w="110"/>
            </w:tcMar>
          </w:tcPr>
          <w:p>
            <w:pPr>
              <w:spacing w:after="0" w:line="240"/>
              <w:jc w:val="left"/>
            </w:pPr>
            <w:r>
              <w:rPr>
                <w:b w:val="false"/>
                <w:bCs w:val="false"/>
                <w:sz w:val="20"/>
                <w:szCs w:val="20"/>
              </w:rPr>
              <w:t xml:space="preserve">8</w:t>
            </w:r>
          </w:p>
        </w:tc>
        <w:tc>
          <w:tcPr>
            <w:tcW w:type="dxa" w:w="1410"/>
            <w:tcMar>
              <w:top w:type="dxa" w:w="60"/>
              <w:left w:type="dxa" w:w="110"/>
              <w:bottom w:type="dxa" w:w="60"/>
              <w:right w:type="dxa" w:w="110"/>
            </w:tcMar>
          </w:tcPr>
          <w:p>
            <w:pPr>
              <w:spacing w:after="0" w:line="240"/>
              <w:jc w:val="left"/>
            </w:pPr>
            <w:r>
              <w:rPr>
                <w:b w:val="false"/>
                <w:bCs w:val="false"/>
                <w:sz w:val="20"/>
                <w:szCs w:val="20"/>
              </w:rPr>
              <w:t xml:space="preserve">2</w:t>
            </w:r>
          </w:p>
        </w:tc>
      </w:tr>
    </w:tbl>
    <w:p>
      <w:pPr>
        <w:spacing w:after="220" w:before="90"/>
        <w:jc w:val="left"/>
      </w:pPr>
      <w:r>
        <w:rPr>
          <w:sz w:val="19"/>
          <w:szCs w:val="19"/>
        </w:rPr>
        <w:t xml:space="preserve">Tabla 2. Comportamiento de las ecuaciones sobre cuatro trayectorias del tablero de cinco pares.</w:t>
      </w:r>
    </w:p>
    <w:p>
      <w:pPr>
        <w:spacing w:after="140" w:before="0" w:line="276"/>
        <w:jc w:val="both"/>
      </w:pPr>
      <w:r>
        <w:t xml:space="preserve">Tres observaciones. La ruta óptima produce exactamente los valores extremos esperados: circuidad igual a uno, ramificación nula y acierto del cien por ciento en los veinticuatro puntos de decisión que atraviesa, sin ningún retorno. Los indicadores se separan de forma ordenada y monótona a medida que aumenta la exploración, lo que confirma que discriminan.</w:t>
      </w:r>
    </w:p>
    <w:p>
      <w:pPr>
        <w:spacing w:after="140" w:before="0" w:line="276"/>
        <w:jc w:val="both"/>
      </w:pPr>
      <w:r>
        <w:t xml:space="preserve">La tercera observación es la más interesante. La trayectoria de rodeos moderados es más larga que la de pocos rodeos —circuidad de 1,63 frente a 1,34— y sin embargo no presenta ningún retorno, mientras que la más corta sí presenta tres y un ciclo independiente. Es decir, alejarse de la ruta óptima y volver sobre los propios pasos son conductas distintas, y las ecuaciones las separan. Un único índice agregado las habría confundido, lo que respalda la decisión de mantener tres familias de indicadores en lugar de una sola.</w:t>
      </w:r>
    </w:p>
    <w:p>
      <w:pPr>
        <w:pStyle w:val="Heading1"/>
        <w:spacing w:after="160" w:before="360"/>
        <w:jc w:val="left"/>
      </w:pPr>
      <w:r>
        <w:rPr>
          <w:b/>
          <w:bCs/>
          <w:sz w:val="26"/>
          <w:szCs w:val="26"/>
        </w:rPr>
        <w:t xml:space="preserve">7. Síntesis</w:t>
      </w:r>
    </w:p>
    <w:tbl>
      <w:tblPr>
        <w:tblW w:type="dxa" w:w="9360"/>
        <w:tblBorders>
          <w:top w:val="single" w:color="000000" w:sz="6"/>
          <w:left w:val="none"/>
          <w:bottom w:val="single" w:color="000000" w:sz="6"/>
          <w:right w:val="none"/>
          <w:insideH w:val="single" w:color="AAAAAA" w:sz="2"/>
          <w:insideV w:val="none"/>
        </w:tblBorders>
      </w:tblPr>
      <w:tblGrid>
        <w:gridCol w:w="2250"/>
        <w:gridCol w:w="2550"/>
        <w:gridCol w:w="1500"/>
        <w:gridCol w:w="3060"/>
      </w:tblGrid>
      <w:tr>
        <w:trPr>
          <w:tblHeader/>
        </w:trPr>
        <w:tc>
          <w:tcPr>
            <w:tcW w:type="dxa" w:w="2250"/>
            <w:shd w:fill="EFEFEF" w:color="auto" w:val="clear"/>
            <w:tcMar>
              <w:top w:type="dxa" w:w="60"/>
              <w:left w:type="dxa" w:w="110"/>
              <w:bottom w:type="dxa" w:w="60"/>
              <w:right w:type="dxa" w:w="110"/>
            </w:tcMar>
          </w:tcPr>
          <w:p>
            <w:pPr>
              <w:spacing w:after="0" w:line="240"/>
              <w:jc w:val="left"/>
            </w:pPr>
            <w:r>
              <w:rPr>
                <w:b/>
                <w:bCs/>
                <w:sz w:val="20"/>
                <w:szCs w:val="20"/>
              </w:rPr>
              <w:t xml:space="preserve">Magnitud</w:t>
            </w:r>
          </w:p>
        </w:tc>
        <w:tc>
          <w:tcPr>
            <w:tcW w:type="dxa" w:w="2550"/>
            <w:shd w:fill="EFEFEF" w:color="auto" w:val="clear"/>
            <w:tcMar>
              <w:top w:type="dxa" w:w="60"/>
              <w:left w:type="dxa" w:w="110"/>
              <w:bottom w:type="dxa" w:w="60"/>
              <w:right w:type="dxa" w:w="110"/>
            </w:tcMar>
          </w:tcPr>
          <w:p>
            <w:pPr>
              <w:spacing w:after="0" w:line="240"/>
              <w:jc w:val="left"/>
            </w:pPr>
            <w:r>
              <w:rPr>
                <w:b/>
                <w:bCs/>
                <w:sz w:val="20"/>
                <w:szCs w:val="20"/>
              </w:rPr>
              <w:t xml:space="preserve">Ecuación</w:t>
            </w:r>
          </w:p>
        </w:tc>
        <w:tc>
          <w:tcPr>
            <w:tcW w:type="dxa" w:w="1500"/>
            <w:shd w:fill="EFEFEF" w:color="auto" w:val="clear"/>
            <w:tcMar>
              <w:top w:type="dxa" w:w="60"/>
              <w:left w:type="dxa" w:w="110"/>
              <w:bottom w:type="dxa" w:w="60"/>
              <w:right w:type="dxa" w:w="110"/>
            </w:tcMar>
          </w:tcPr>
          <w:p>
            <w:pPr>
              <w:spacing w:after="0" w:line="240"/>
              <w:jc w:val="left"/>
            </w:pPr>
            <w:r>
              <w:rPr>
                <w:b/>
                <w:bCs/>
                <w:sz w:val="20"/>
                <w:szCs w:val="20"/>
              </w:rPr>
              <w:t xml:space="preserve">Rango</w:t>
            </w:r>
          </w:p>
        </w:tc>
        <w:tc>
          <w:tcPr>
            <w:tcW w:type="dxa" w:w="3060"/>
            <w:shd w:fill="EFEFEF" w:color="auto" w:val="clear"/>
            <w:tcMar>
              <w:top w:type="dxa" w:w="60"/>
              <w:left w:type="dxa" w:w="110"/>
              <w:bottom w:type="dxa" w:w="60"/>
              <w:right w:type="dxa" w:w="110"/>
            </w:tcMar>
          </w:tcPr>
          <w:p>
            <w:pPr>
              <w:spacing w:after="0" w:line="240"/>
              <w:jc w:val="left"/>
            </w:pPr>
            <w:r>
              <w:rPr>
                <w:b/>
                <w:bCs/>
                <w:sz w:val="20"/>
                <w:szCs w:val="20"/>
              </w:rPr>
              <w:t xml:space="preserve">Qué responde</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Circuidad</w:t>
            </w:r>
          </w:p>
        </w:tc>
        <w:tc>
          <w:tcPr>
            <w:tcW w:type="dxa" w:w="2550"/>
            <w:tcMar>
              <w:top w:type="dxa" w:w="60"/>
              <w:left w:type="dxa" w:w="110"/>
              <w:bottom w:type="dxa" w:w="60"/>
              <w:right w:type="dxa" w:w="110"/>
            </w:tcMar>
          </w:tcPr>
          <w:p>
            <w:pPr>
              <w:spacing w:after="0" w:line="240"/>
              <w:jc w:val="left"/>
            </w:pPr>
            <w:r>
              <w:rPr>
                <w:i/>
                <w:iCs/>
                <w:sz w:val="20"/>
                <w:szCs w:val="20"/>
              </w:rPr>
              <w:t xml:space="preserve">Q</w:t>
            </w:r>
            <w:r>
              <w:rPr>
                <w:i/>
                <w:iCs/>
                <w:sz w:val="20"/>
                <w:szCs w:val="20"/>
                <w:vertAlign w:val="subscript"/>
              </w:rPr>
              <w:t xml:space="preserve">i</w:t>
            </w:r>
            <w:r>
              <w:rPr>
                <w:i/>
                <w:iCs/>
                <w:sz w:val="20"/>
                <w:szCs w:val="20"/>
              </w:rPr>
              <w:t xml:space="preserve"> = L</w:t>
            </w:r>
            <w:r>
              <w:rPr>
                <w:i/>
                <w:iCs/>
                <w:sz w:val="20"/>
                <w:szCs w:val="20"/>
                <w:vertAlign w:val="subscript"/>
              </w:rPr>
              <w:t xml:space="preserve">i</w:t>
            </w:r>
            <w:r>
              <w:rPr>
                <w:i/>
                <w:iCs/>
                <w:sz w:val="20"/>
                <w:szCs w:val="20"/>
              </w:rPr>
              <w:t xml:space="preserve"> / D*(n)</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 1</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¿Cuánto rodeo hizo respecto de la ruta mínima?</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Ramificación por intento</w:t>
            </w:r>
          </w:p>
        </w:tc>
        <w:tc>
          <w:tcPr>
            <w:tcW w:type="dxa" w:w="2550"/>
            <w:tcMar>
              <w:top w:type="dxa" w:w="60"/>
              <w:left w:type="dxa" w:w="110"/>
              <w:bottom w:type="dxa" w:w="60"/>
              <w:right w:type="dxa" w:w="110"/>
            </w:tcMar>
          </w:tcPr>
          <w:p>
            <w:pPr>
              <w:spacing w:after="0" w:line="240"/>
              <w:jc w:val="left"/>
            </w:pPr>
            <w:r>
              <w:rPr>
                <w:i/>
                <w:iCs/>
                <w:sz w:val="20"/>
                <w:szCs w:val="20"/>
              </w:rPr>
              <w:t xml:space="preserve">R</w:t>
            </w:r>
            <w:r>
              <w:rPr>
                <w:i/>
                <w:iCs/>
                <w:sz w:val="20"/>
                <w:szCs w:val="20"/>
                <w:vertAlign w:val="subscript"/>
              </w:rPr>
              <w:t xml:space="preserve">i</w:t>
            </w:r>
            <w:r>
              <w:rPr>
                <w:i/>
                <w:iCs/>
                <w:sz w:val="20"/>
                <w:szCs w:val="20"/>
              </w:rPr>
              <w:t xml:space="preserve"> = (1/|K|) Σ C</w:t>
            </w:r>
            <w:r>
              <w:rPr>
                <w:i/>
                <w:iCs/>
                <w:sz w:val="20"/>
                <w:szCs w:val="20"/>
                <w:vertAlign w:val="subscript"/>
              </w:rPr>
              <w:t xml:space="preserve">k</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0 a 1</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¿Qué tan buenas fueron sus decisiones, allí donde decidió?</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Tasa de acierto</w:t>
            </w:r>
          </w:p>
        </w:tc>
        <w:tc>
          <w:tcPr>
            <w:tcW w:type="dxa" w:w="2550"/>
            <w:tcMar>
              <w:top w:type="dxa" w:w="60"/>
              <w:left w:type="dxa" w:w="110"/>
              <w:bottom w:type="dxa" w:w="60"/>
              <w:right w:type="dxa" w:w="110"/>
            </w:tcMar>
          </w:tcPr>
          <w:p>
            <w:pPr>
              <w:spacing w:after="0" w:line="240"/>
              <w:jc w:val="left"/>
            </w:pPr>
            <w:r>
              <w:rPr>
                <w:i/>
                <w:iCs/>
                <w:sz w:val="20"/>
                <w:szCs w:val="20"/>
              </w:rPr>
              <w:t xml:space="preserve">α</w:t>
            </w:r>
            <w:r>
              <w:rPr>
                <w:i/>
                <w:iCs/>
                <w:sz w:val="20"/>
                <w:szCs w:val="20"/>
                <w:vertAlign w:val="subscript"/>
              </w:rPr>
              <w:t xml:space="preserve">i</w:t>
            </w:r>
            <w:r>
              <w:rPr>
                <w:i/>
                <w:iCs/>
                <w:sz w:val="20"/>
                <w:szCs w:val="20"/>
              </w:rPr>
              <w:t xml:space="preserve"> = |{C</w:t>
            </w:r>
            <w:r>
              <w:rPr>
                <w:i/>
                <w:iCs/>
                <w:sz w:val="20"/>
                <w:szCs w:val="20"/>
                <w:vertAlign w:val="subscript"/>
              </w:rPr>
              <w:t xml:space="preserve">k</w:t>
            </w:r>
            <w:r>
              <w:rPr>
                <w:i/>
                <w:iCs/>
                <w:sz w:val="20"/>
                <w:szCs w:val="20"/>
              </w:rPr>
              <w:t xml:space="preserve"> = 0}| / |K|</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0 a 1</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¿En qué proporción de los puntos críticos acertó?</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Grado de libertad medio</w:t>
            </w:r>
          </w:p>
        </w:tc>
        <w:tc>
          <w:tcPr>
            <w:tcW w:type="dxa" w:w="2550"/>
            <w:tcMar>
              <w:top w:type="dxa" w:w="60"/>
              <w:left w:type="dxa" w:w="110"/>
              <w:bottom w:type="dxa" w:w="60"/>
              <w:right w:type="dxa" w:w="110"/>
            </w:tcMar>
          </w:tcPr>
          <w:p>
            <w:pPr>
              <w:spacing w:after="0" w:line="240"/>
              <w:jc w:val="left"/>
            </w:pPr>
            <w:r>
              <w:rPr>
                <w:i/>
                <w:iCs/>
                <w:sz w:val="20"/>
                <w:szCs w:val="20"/>
              </w:rPr>
              <w:t xml:space="preserve">δ̄</w:t>
            </w:r>
            <w:r>
              <w:rPr>
                <w:i/>
                <w:iCs/>
                <w:sz w:val="20"/>
                <w:szCs w:val="20"/>
                <w:vertAlign w:val="subscript"/>
              </w:rPr>
              <w:t xml:space="preserve">i</w:t>
            </w:r>
            <w:r>
              <w:rPr>
                <w:i/>
                <w:iCs/>
                <w:sz w:val="20"/>
                <w:szCs w:val="20"/>
              </w:rPr>
              <w:t xml:space="preserve"> = (1/L</w:t>
            </w:r>
            <w:r>
              <w:rPr>
                <w:i/>
                <w:iCs/>
                <w:sz w:val="20"/>
                <w:szCs w:val="20"/>
                <w:vertAlign w:val="subscript"/>
              </w:rPr>
              <w:t xml:space="preserve">i</w:t>
            </w:r>
            <w:r>
              <w:rPr>
                <w:i/>
                <w:iCs/>
                <w:sz w:val="20"/>
                <w:szCs w:val="20"/>
              </w:rPr>
              <w:t xml:space="preserve">) Σ δ</w:t>
            </w:r>
            <w:r>
              <w:rPr>
                <w:i/>
                <w:iCs/>
                <w:sz w:val="20"/>
                <w:szCs w:val="20"/>
                <w:vertAlign w:val="subscript"/>
              </w:rPr>
              <w:t xml:space="preserve">k</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1 a 4</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¿Cuántas opciones tuvo en promedio?</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Retornos</w:t>
            </w:r>
          </w:p>
        </w:tc>
        <w:tc>
          <w:tcPr>
            <w:tcW w:type="dxa" w:w="2550"/>
            <w:tcMar>
              <w:top w:type="dxa" w:w="60"/>
              <w:left w:type="dxa" w:w="110"/>
              <w:bottom w:type="dxa" w:w="60"/>
              <w:right w:type="dxa" w:w="110"/>
            </w:tcMar>
          </w:tcPr>
          <w:p>
            <w:pPr>
              <w:spacing w:after="0" w:line="240"/>
              <w:jc w:val="left"/>
            </w:pPr>
            <w:r>
              <w:rPr>
                <w:i/>
                <w:iCs/>
                <w:sz w:val="20"/>
                <w:szCs w:val="20"/>
              </w:rPr>
              <w:t xml:space="preserve">ν</w:t>
            </w:r>
            <w:r>
              <w:rPr>
                <w:i/>
                <w:iCs/>
                <w:sz w:val="20"/>
                <w:szCs w:val="20"/>
                <w:vertAlign w:val="subscript"/>
              </w:rPr>
              <w:t xml:space="preserve">i</w:t>
            </w:r>
            <w:r>
              <w:rPr>
                <w:i/>
                <w:iCs/>
                <w:sz w:val="20"/>
                <w:szCs w:val="20"/>
              </w:rPr>
              <w:t xml:space="preserve"> = (L</w:t>
            </w:r>
            <w:r>
              <w:rPr>
                <w:i/>
                <w:iCs/>
                <w:sz w:val="20"/>
                <w:szCs w:val="20"/>
                <w:vertAlign w:val="subscript"/>
              </w:rPr>
              <w:t xml:space="preserve">i</w:t>
            </w:r>
            <w:r>
              <w:rPr>
                <w:i/>
                <w:iCs/>
                <w:sz w:val="20"/>
                <w:szCs w:val="20"/>
              </w:rPr>
              <w:t xml:space="preserve"> + 1) − |V(W</w:t>
            </w:r>
            <w:r>
              <w:rPr>
                <w:i/>
                <w:iCs/>
                <w:sz w:val="20"/>
                <w:szCs w:val="20"/>
                <w:vertAlign w:val="subscript"/>
              </w:rPr>
              <w:t xml:space="preserve">i</w:t>
            </w:r>
            <w:r>
              <w:rPr>
                <w:i/>
                <w:iCs/>
                <w:sz w:val="20"/>
                <w:szCs w:val="20"/>
              </w:rPr>
              <w:t xml:space="preserve">)|</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 0</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¿Cuántas veces volvió a un estado ya visitado?</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Buclicidad normalizada</w:t>
            </w:r>
          </w:p>
        </w:tc>
        <w:tc>
          <w:tcPr>
            <w:tcW w:type="dxa" w:w="2550"/>
            <w:tcMar>
              <w:top w:type="dxa" w:w="60"/>
              <w:left w:type="dxa" w:w="110"/>
              <w:bottom w:type="dxa" w:w="60"/>
              <w:right w:type="dxa" w:w="110"/>
            </w:tcMar>
          </w:tcPr>
          <w:p>
            <w:pPr>
              <w:spacing w:after="0" w:line="240"/>
              <w:jc w:val="left"/>
            </w:pPr>
            <w:r>
              <w:rPr>
                <w:i/>
                <w:iCs/>
                <w:sz w:val="20"/>
                <w:szCs w:val="20"/>
              </w:rPr>
              <w:t xml:space="preserve">β</w:t>
            </w:r>
            <w:r>
              <w:rPr>
                <w:i/>
                <w:iCs/>
                <w:sz w:val="20"/>
                <w:szCs w:val="20"/>
                <w:vertAlign w:val="subscript"/>
              </w:rPr>
              <w:t xml:space="preserve">i</w:t>
            </w:r>
            <w:r>
              <w:rPr>
                <w:i/>
                <w:iCs/>
                <w:sz w:val="20"/>
                <w:szCs w:val="20"/>
              </w:rPr>
              <w:t xml:space="preserve"> = ν</w:t>
            </w:r>
            <w:r>
              <w:rPr>
                <w:i/>
                <w:iCs/>
                <w:sz w:val="20"/>
                <w:szCs w:val="20"/>
                <w:vertAlign w:val="subscript"/>
              </w:rPr>
              <w:t xml:space="preserve">i</w:t>
            </w:r>
            <w:r>
              <w:rPr>
                <w:i/>
                <w:iCs/>
                <w:sz w:val="20"/>
                <w:szCs w:val="20"/>
              </w:rPr>
              <w:t xml:space="preserve"> / L</w:t>
            </w:r>
            <w:r>
              <w:rPr>
                <w:i/>
                <w:iCs/>
                <w:sz w:val="20"/>
                <w:szCs w:val="20"/>
                <w:vertAlign w:val="subscript"/>
              </w:rPr>
              <w:t xml:space="preserve">i</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0 a 1</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¿Qué proporción de sus movimientos fue un retorno?</w:t>
            </w:r>
          </w:p>
        </w:tc>
      </w:tr>
      <w:tr>
        <w:tc>
          <w:tcPr>
            <w:tcW w:type="dxa" w:w="2250"/>
            <w:tcMar>
              <w:top w:type="dxa" w:w="60"/>
              <w:left w:type="dxa" w:w="110"/>
              <w:bottom w:type="dxa" w:w="60"/>
              <w:right w:type="dxa" w:w="110"/>
            </w:tcMar>
          </w:tcPr>
          <w:p>
            <w:pPr>
              <w:spacing w:after="0" w:line="240"/>
              <w:jc w:val="left"/>
            </w:pPr>
            <w:r>
              <w:rPr>
                <w:b w:val="false"/>
                <w:bCs w:val="false"/>
                <w:sz w:val="20"/>
                <w:szCs w:val="20"/>
              </w:rPr>
              <w:t xml:space="preserve">Ciclos independientes</w:t>
            </w:r>
          </w:p>
        </w:tc>
        <w:tc>
          <w:tcPr>
            <w:tcW w:type="dxa" w:w="2550"/>
            <w:tcMar>
              <w:top w:type="dxa" w:w="60"/>
              <w:left w:type="dxa" w:w="110"/>
              <w:bottom w:type="dxa" w:w="60"/>
              <w:right w:type="dxa" w:w="110"/>
            </w:tcMar>
          </w:tcPr>
          <w:p>
            <w:pPr>
              <w:spacing w:after="0" w:line="240"/>
              <w:jc w:val="left"/>
            </w:pPr>
            <w:r>
              <w:rPr>
                <w:i/>
                <w:iCs/>
                <w:sz w:val="20"/>
                <w:szCs w:val="20"/>
              </w:rPr>
              <w:t xml:space="preserve">μ</w:t>
            </w:r>
            <w:r>
              <w:rPr>
                <w:i/>
                <w:iCs/>
                <w:sz w:val="20"/>
                <w:szCs w:val="20"/>
                <w:vertAlign w:val="subscript"/>
              </w:rPr>
              <w:t xml:space="preserve">i</w:t>
            </w:r>
            <w:r>
              <w:rPr>
                <w:i/>
                <w:iCs/>
                <w:sz w:val="20"/>
                <w:szCs w:val="20"/>
              </w:rPr>
              <w:t xml:space="preserve"> = |E(W</w:t>
            </w:r>
            <w:r>
              <w:rPr>
                <w:i/>
                <w:iCs/>
                <w:sz w:val="20"/>
                <w:szCs w:val="20"/>
                <w:vertAlign w:val="subscript"/>
              </w:rPr>
              <w:t xml:space="preserve">i</w:t>
            </w:r>
            <w:r>
              <w:rPr>
                <w:i/>
                <w:iCs/>
                <w:sz w:val="20"/>
                <w:szCs w:val="20"/>
              </w:rPr>
              <w:t xml:space="preserve">)| − |V(W</w:t>
            </w:r>
            <w:r>
              <w:rPr>
                <w:i/>
                <w:iCs/>
                <w:sz w:val="20"/>
                <w:szCs w:val="20"/>
                <w:vertAlign w:val="subscript"/>
              </w:rPr>
              <w:t xml:space="preserve">i</w:t>
            </w:r>
            <w:r>
              <w:rPr>
                <w:i/>
                <w:iCs/>
                <w:sz w:val="20"/>
                <w:szCs w:val="20"/>
              </w:rPr>
              <w:t xml:space="preserve">)| + 1</w:t>
            </w:r>
          </w:p>
        </w:tc>
        <w:tc>
          <w:tcPr>
            <w:tcW w:type="dxa" w:w="1500"/>
            <w:tcMar>
              <w:top w:type="dxa" w:w="60"/>
              <w:left w:type="dxa" w:w="110"/>
              <w:bottom w:type="dxa" w:w="60"/>
              <w:right w:type="dxa" w:w="110"/>
            </w:tcMar>
          </w:tcPr>
          <w:p>
            <w:pPr>
              <w:spacing w:after="0" w:line="240"/>
              <w:jc w:val="left"/>
            </w:pPr>
            <w:r>
              <w:rPr>
                <w:b w:val="false"/>
                <w:bCs w:val="false"/>
                <w:sz w:val="20"/>
                <w:szCs w:val="20"/>
              </w:rPr>
              <w:t xml:space="preserve">≥ 0</w:t>
            </w:r>
          </w:p>
        </w:tc>
        <w:tc>
          <w:tcPr>
            <w:tcW w:type="dxa" w:w="3060"/>
            <w:tcMar>
              <w:top w:type="dxa" w:w="60"/>
              <w:left w:type="dxa" w:w="110"/>
              <w:bottom w:type="dxa" w:w="60"/>
              <w:right w:type="dxa" w:w="110"/>
            </w:tcMar>
          </w:tcPr>
          <w:p>
            <w:pPr>
              <w:spacing w:after="0" w:line="240"/>
              <w:jc w:val="left"/>
            </w:pPr>
            <w:r>
              <w:rPr>
                <w:b w:val="false"/>
                <w:bCs w:val="false"/>
                <w:sz w:val="20"/>
                <w:szCs w:val="20"/>
              </w:rPr>
              <w:t xml:space="preserve">¿Cuántos bucles distintos exploró?</w:t>
            </w:r>
          </w:p>
        </w:tc>
      </w:tr>
    </w:tbl>
    <w:p>
      <w:pPr>
        <w:spacing w:after="220" w:before="90"/>
        <w:jc w:val="left"/>
      </w:pPr>
      <w:r>
        <w:rPr>
          <w:sz w:val="19"/>
          <w:szCs w:val="19"/>
        </w:rPr>
        <w:t xml:space="preserve">Tabla 3. Conjunto propuesto. Ninguna de las ecuaciones se hereda: todas se derivan del grafo y admiten respaldo bibliográfico.</w:t>
      </w:r>
    </w:p>
    <w:p>
      <w:pPr>
        <w:pStyle w:val="Heading1"/>
        <w:spacing w:after="160" w:before="360"/>
        <w:jc w:val="left"/>
      </w:pPr>
      <w:r>
        <w:rPr>
          <w:b/>
          <w:bCs/>
          <w:sz w:val="26"/>
          <w:szCs w:val="26"/>
        </w:rPr>
        <w:t xml:space="preserve">8. Puntos que quedan abiertos</w:t>
      </w:r>
    </w:p>
    <w:p>
      <w:pPr>
        <w:spacing w:after="140" w:before="0" w:line="276"/>
        <w:jc w:val="both"/>
      </w:pPr>
      <w:r>
        <w:t xml:space="preserve">Se someten a su consideración los siguientes puntos antes de incorporar las ecuaciones al documento de tesis e implementarlas en la aplicación.</w:t>
      </w:r>
    </w:p>
    <w:p>
      <w:pPr>
        <w:spacing w:after="140" w:line="276"/>
        <w:ind w:left="360" w:hanging="360"/>
        <w:jc w:val="both"/>
      </w:pPr>
      <w:r>
        <w:rPr>
          <w:b/>
          <w:bCs/>
        </w:rPr>
        <w:t xml:space="preserve">1. </w:t>
      </w:r>
      <w:r>
        <w:t xml:space="preserve">¿Se acepta el conjunto de la Tabla 3 como formulación definitiva, en reemplazo de las ecuaciones heredadas?</w:t>
      </w:r>
    </w:p>
    <w:p>
      <w:pPr>
        <w:spacing w:after="140" w:line="276"/>
        <w:ind w:left="360" w:hanging="360"/>
        <w:jc w:val="both"/>
      </w:pPr>
      <w:r>
        <w:rPr>
          <w:b/>
          <w:bCs/>
        </w:rPr>
        <w:t xml:space="preserve">2. </w:t>
      </w:r>
      <w:r>
        <w:t xml:space="preserve">¿Conviene reportar la ramificación únicamente como promedio, o también el perfil por tramos del intento (por ejemplo, primera y segunda mitad), que atendería de forma más directa su observación sobre los movimientos iniciales perfectos?</w:t>
      </w:r>
    </w:p>
    <w:p>
      <w:pPr>
        <w:spacing w:after="140" w:line="276"/>
        <w:ind w:left="360" w:hanging="360"/>
        <w:jc w:val="both"/>
      </w:pPr>
      <w:r>
        <w:rPr>
          <w:b/>
          <w:bCs/>
        </w:rPr>
        <w:t xml:space="preserve">3. </w:t>
      </w:r>
      <w:r>
        <w:t xml:space="preserve">¿Se menciona en la tesis la verificación de la ecuación del trabajo fuente —que resultó correcta para los bucles de dos y tres fichas— como reconocimiento del aporte precedente, aunque no se la emplee como instrumento de medida?</w:t>
      </w:r>
    </w:p>
    <w:p>
      <w:pPr>
        <w:spacing w:after="200" w:line="276"/>
        <w:ind w:left="360" w:hanging="360"/>
        <w:jc w:val="both"/>
      </w:pPr>
      <w:r>
        <w:rPr>
          <w:b/>
          <w:bCs/>
        </w:rPr>
        <w:t xml:space="preserve">4. </w:t>
      </w:r>
      <w:r>
        <w:t xml:space="preserve">¿Desea que se profundice adicionalmente en la línea de redes espaciales, más allá de la circuidad, o resulta suficiente con el fundamento aquí presentado?</w:t>
      </w:r>
    </w:p>
    <w:p>
      <w:pPr>
        <w:pStyle w:val="Heading1"/>
        <w:spacing w:after="160" w:before="360"/>
        <w:jc w:val="left"/>
      </w:pPr>
      <w:r>
        <w:rPr>
          <w:b/>
          <w:bCs/>
          <w:sz w:val="26"/>
          <w:szCs w:val="26"/>
        </w:rPr>
        <w:t xml:space="preserve">9. Referencias</w:t>
      </w:r>
    </w:p>
    <w:p>
      <w:pPr>
        <w:spacing w:after="120" w:line="252"/>
        <w:ind w:left="480" w:hanging="480"/>
        <w:jc w:val="both"/>
      </w:pPr>
      <w:r>
        <w:rPr>
          <w:sz w:val="21"/>
          <w:szCs w:val="21"/>
        </w:rPr>
        <w:t xml:space="preserve">Barthélemy, M. (2011). Spatial networks. Physics Reports, 499(1–3), 1–101. https://doi.org/10.1016/j.physrep.2010.11.002</w:t>
      </w:r>
    </w:p>
    <w:p>
      <w:pPr>
        <w:spacing w:after="120" w:line="252"/>
        <w:ind w:left="480" w:hanging="480"/>
        <w:jc w:val="both"/>
      </w:pPr>
      <w:r>
        <w:rPr>
          <w:sz w:val="21"/>
          <w:szCs w:val="21"/>
        </w:rPr>
        <w:t xml:space="preserve">Diestel, R. (2017). Graph theory (5.ª ed.). Springer.</w:t>
      </w:r>
    </w:p>
    <w:p>
      <w:pPr>
        <w:spacing w:after="120" w:line="252"/>
        <w:ind w:left="480" w:hanging="480"/>
        <w:jc w:val="both"/>
      </w:pPr>
      <w:r>
        <w:rPr>
          <w:sz w:val="21"/>
          <w:szCs w:val="21"/>
        </w:rPr>
        <w:t xml:space="preserve">Dijkstra, E. W. (1959). A note on two problems in connexion with graphs. Numerische Mathematik, 1, 269–271.</w:t>
      </w:r>
    </w:p>
    <w:p>
      <w:pPr>
        <w:spacing w:after="120" w:line="252"/>
        <w:ind w:left="480" w:hanging="480"/>
        <w:jc w:val="both"/>
      </w:pPr>
      <w:r>
        <w:rPr>
          <w:sz w:val="21"/>
          <w:szCs w:val="21"/>
        </w:rPr>
        <w:t xml:space="preserve">Hinz, A. M. (2012). Graph theory of tower tasks. Behavioural Neurology, 25(1), 13–22. https://doi.org/10.3233/BEN-2012-0345</w:t>
      </w:r>
    </w:p>
    <w:p>
      <w:pPr>
        <w:spacing w:after="120" w:line="252"/>
        <w:ind w:left="480" w:hanging="480"/>
        <w:jc w:val="both"/>
      </w:pPr>
      <w:r>
        <w:rPr>
          <w:sz w:val="21"/>
          <w:szCs w:val="21"/>
        </w:rPr>
        <w:t xml:space="preserve">Hinz, A. M., Klavžar, S., y Petr, C. (2018). The Tower of Hanoi – Myths and Maths (2.ª ed.). Springer.</w:t>
      </w:r>
    </w:p>
    <w:p>
      <w:pPr>
        <w:spacing w:after="120" w:line="252"/>
        <w:ind w:left="480" w:hanging="480"/>
        <w:jc w:val="both"/>
      </w:pPr>
      <w:r>
        <w:rPr>
          <w:sz w:val="21"/>
          <w:szCs w:val="21"/>
        </w:rPr>
        <w:t xml:space="preserve">Johnsonbaugh, R. (2005). Matemáticas discretas (6.ª ed.). Pearson Educación.</w:t>
      </w:r>
    </w:p>
    <w:p>
      <w:pPr>
        <w:spacing w:after="120" w:line="252"/>
        <w:ind w:left="480" w:hanging="480"/>
        <w:jc w:val="both"/>
      </w:pPr>
      <w:r>
        <w:rPr>
          <w:sz w:val="21"/>
          <w:szCs w:val="21"/>
        </w:rPr>
        <w:t xml:space="preserve">Kirchhoff, G. (1847). Über die Auflösung der Gleichungen, auf welche man bei der Untersuchung der linearen Verteilung galvanischer Ströme geführt wird. Annalen der Physik und Chemie, 72(12), 497–508.</w:t>
      </w:r>
    </w:p>
    <w:p>
      <w:pPr>
        <w:spacing w:after="120" w:line="252"/>
        <w:ind w:left="480" w:hanging="480"/>
        <w:jc w:val="both"/>
      </w:pPr>
      <w:r>
        <w:rPr>
          <w:sz w:val="21"/>
          <w:szCs w:val="21"/>
        </w:rPr>
        <w:t xml:space="preserve">Liévano Chaparro, L. P., y Molina Monguí, R. R. (2022). Análisis de las trayectorias de aprendizaje del juego La Escalera [Trabajo de grado, Maestría en Educación en Tecnología]. Universidad Distrital Francisco José de Caldas.</w:t>
      </w:r>
    </w:p>
    <w:p>
      <w:pPr>
        <w:spacing w:after="120" w:line="252"/>
        <w:ind w:left="480" w:hanging="480"/>
        <w:jc w:val="both"/>
      </w:pPr>
      <w:r>
        <w:rPr>
          <w:sz w:val="21"/>
          <w:szCs w:val="21"/>
        </w:rPr>
        <w:t xml:space="preserve">McCabe, T. J. (1976). A complexity measure. IEEE Transactions on Software Engineering, SE-2(4), 308–320.</w:t>
      </w:r>
    </w:p>
    <w:p>
      <w:pPr>
        <w:spacing w:after="120" w:line="252"/>
        <w:ind w:left="480" w:hanging="480"/>
        <w:jc w:val="both"/>
      </w:pPr>
      <w:r>
        <w:rPr>
          <w:sz w:val="21"/>
          <w:szCs w:val="21"/>
        </w:rPr>
        <w:t xml:space="preserve">Newell, A., y Simon, H. A. (1972). Human problem solving. Prentice-Hall.</w:t>
      </w:r>
    </w:p>
    <w:p>
      <w:pPr>
        <w:spacing w:after="120" w:line="252"/>
        <w:ind w:left="480" w:hanging="480"/>
        <w:jc w:val="both"/>
      </w:pPr>
      <w:r>
        <w:rPr>
          <w:sz w:val="21"/>
          <w:szCs w:val="21"/>
        </w:rPr>
        <w:t xml:space="preserve">Russell, S., y Norvig, P. (2021). Artificial intelligence: A modern approach (4.ª ed.). Pearson.</w:t>
      </w:r>
    </w:p>
    <w:p>
      <w:pPr>
        <w:spacing w:before="200" w:line="252"/>
        <w:jc w:val="both"/>
      </w:pPr>
      <w:r>
        <w:rPr>
          <w:i/>
          <w:iCs/>
          <w:sz w:val="19"/>
          <w:szCs w:val="19"/>
        </w:rPr>
        <w:t xml:space="preserve">Nota sobre la verificación bibliográfica: las referencias de Barthélemy (2011), Hinz (2012), Kirchhoff (1847) y McCabe (1976) se contrastaron en fuentes independientes al preparar este documento, y en el caso de Hinz se consultó el resumen original. Las obras de Diestel, Newell y Simon, y Russell y Norvig son estándar; conviene confirmar edición y paginación antes de incorporarlas a la bibliografía definitiva.</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40" w:line="276"/>
        <w:jc w:val="both"/>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6"/>
      <w:szCs w:val="26"/>
    </w:rPr>
  </w:style>
  <w:style w:type="paragraph" w:styleId="Heading2">
    <w:name w:val="Heading 2"/>
    <w:basedOn w:val="Normal"/>
    <w:next w:val="Normal"/>
    <w:qFormat/>
    <w:rPr>
      <w:rFonts w:ascii="Times New Roman" w:cs="Times New Roman" w:eastAsia="Times New Roman" w:hAnsi="Times New Roman"/>
      <w:b/>
      <w:bCs/>
      <w:i/>
      <w:iCs/>
      <w:color w:val="000000"/>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Ecuaciones para el análisis de trayectorias en el juego La Escalera</dc:title>
  <dc:creator>Néstor Andrés Paipa</dc:creator>
  <dc:description>Respuesta a las observaciones del director y propuesta de formulación propia</dc:description>
  <cp:lastModifiedBy>Un-named</cp:lastModifiedBy>
  <cp:revision>1</cp:revision>
  <dcterms:created xsi:type="dcterms:W3CDTF">2026-10-07T22:13:12.820Z</dcterms:created>
  <dcterms:modified xsi:type="dcterms:W3CDTF">2026-10-07T22:13:12.823Z</dcterms:modified>
</cp:coreProperties>
</file>

<file path=docProps/custom.xml><?xml version="1.0" encoding="utf-8"?>
<Properties xmlns="http://schemas.openxmlformats.org/officeDocument/2006/custom-properties" xmlns:vt="http://schemas.openxmlformats.org/officeDocument/2006/docPropsVTypes"/>
</file>