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3864"/>
          <w:sz w:val="32"/>
          <w:szCs w:val="32"/>
        </w:rPr>
        <w:t>La inteligencia artificial como lubricante y como abrasivo:</w:t>
      </w:r>
    </w:p>
    <w:p>
      <w:pPr>
        <w:pStyle w:val="Normal"/>
        <w:spacing w:before="0" w:after="120"/>
        <w:jc w:val="center"/>
        <w:rPr/>
      </w:pPr>
      <w:r>
        <w:rPr>
          <w:rFonts w:eastAsia="Arial" w:cs="Arial"/>
          <w:b/>
          <w:bCs/>
          <w:color w:val="1F3864"/>
          <w:sz w:val="32"/>
          <w:szCs w:val="32"/>
        </w:rPr>
        <w:t>reflexiones sobre el quehacer docente en la era algorítmica</w:t>
      </w:r>
    </w:p>
    <w:p>
      <w:pPr>
        <w:pStyle w:val="Normal"/>
        <w:spacing w:before="0" w:after="100"/>
        <w:rPr/>
      </w:pPr>
      <w:r>
        <w:rPr/>
      </w:r>
    </w:p>
    <w:p>
      <w:pPr>
        <w:pStyle w:val="Normal"/>
        <w:spacing w:before="0" w:after="80"/>
        <w:jc w:val="center"/>
        <w:rPr>
          <w:rFonts w:ascii="Arial" w:hAnsi="Arial" w:eastAsia="Arial" w:cs="Arial"/>
          <w:i/>
          <w:iCs/>
          <w:color w:val="555555"/>
          <w:sz w:val="22"/>
          <w:szCs w:val="22"/>
        </w:rPr>
      </w:pPr>
      <w:r>
        <w:rPr>
          <w:rFonts w:eastAsia="Arial" w:cs="Arial"/>
          <w:i/>
          <w:iCs/>
          <w:color w:val="555555"/>
          <w:sz w:val="22"/>
          <w:szCs w:val="22"/>
        </w:rPr>
        <w:t xml:space="preserve">MAESTRÍA “ENSEÑANZA EN ESCENARIOS DIGITALES” </w:t>
      </w:r>
    </w:p>
    <w:p>
      <w:pPr>
        <w:pStyle w:val="Normal"/>
        <w:spacing w:before="0" w:after="400"/>
        <w:jc w:val="center"/>
        <w:rPr/>
      </w:pPr>
      <w:r>
        <w:rPr>
          <w:rFonts w:eastAsia="Arial" w:cs="Arial"/>
          <w:color w:val="555555"/>
          <w:sz w:val="22"/>
          <w:szCs w:val="22"/>
        </w:rPr>
        <w:t>2026</w:t>
      </w:r>
    </w:p>
    <w:p>
      <w:pPr>
        <w:pStyle w:val="Normal"/>
        <w:pBdr>
          <w:bottom w:val="single" w:sz="6" w:space="1" w:color="2E5496"/>
        </w:pBdr>
        <w:spacing w:before="0" w:after="300"/>
        <w:rPr/>
      </w:pPr>
      <w:r>
        <w:rPr/>
      </w:r>
    </w:p>
    <w:p>
      <w:pPr>
        <w:pStyle w:val="Normal"/>
        <w:spacing w:before="0" w:after="100"/>
        <w:rPr/>
      </w:pPr>
      <w:r>
        <w:rPr/>
      </w:r>
    </w:p>
    <w:p>
      <w:pPr>
        <w:pStyle w:val="Heading1"/>
        <w:spacing w:before="360" w:after="200"/>
        <w:rPr/>
      </w:pPr>
      <w:r>
        <w:rPr>
          <w:rFonts w:eastAsia="Arial" w:cs="Arial" w:ascii="Arial" w:hAnsi="Arial"/>
          <w:b/>
          <w:bCs/>
          <w:color w:val="1F3864"/>
          <w:sz w:val="28"/>
          <w:szCs w:val="28"/>
        </w:rPr>
        <w:t>Resumen</w:t>
      </w:r>
    </w:p>
    <w:p>
      <w:pPr>
        <w:pStyle w:val="Normal"/>
        <w:spacing w:lineRule="auto" w:line="276" w:before="0" w:after="200"/>
        <w:jc w:val="both"/>
        <w:rPr/>
      </w:pPr>
      <w:r>
        <w:rPr>
          <w:rFonts w:eastAsia="Arial" w:cs="Arial"/>
          <w:sz w:val="24"/>
          <w:szCs w:val="24"/>
        </w:rPr>
        <w:t>El presente artículo propone una reflexión crítica sobre cuatro prácticas constitutivas del quehacer docente: las reuniones institucionales, los sistemas provinciales de registro de inasistencias y licencias, las planificaciones y programas de materias, y la producción de materiales didácticos para estudiantes con regímenes especiales de cursada. La tesis central es que la inteligencia artificial (IA) opera, simultáneamente, como un lubricante que agiliza dichas prácticas para ambos actores —el Estado empleador y el docente contratado— y como un abrasivo que, en su uso irrestricto y acrítico, precariza la práctica pedagógica, erosiona la autonomía profesional y vuelve transparente aquello que, precisamente por su complejidad, debería permanecer opaco. Se articulan perspectivas de Adell y Castañeda, Byung-Chul Han, Carlos Magro, Daniel Innerarity, Javier Ozollo y Carlos Scolari para sostener que la cuestión no radica en la herramienta, sino en las relaciones de poder que la atraviesan.</w:t>
      </w:r>
    </w:p>
    <w:p>
      <w:pPr>
        <w:pStyle w:val="Normal"/>
        <w:spacing w:before="0" w:after="100"/>
        <w:rPr/>
      </w:pPr>
      <w:r>
        <w:rPr/>
      </w:r>
    </w:p>
    <w:p>
      <w:pPr>
        <w:pStyle w:val="Normal"/>
        <w:spacing w:lineRule="auto" w:line="276" w:before="0" w:after="200"/>
        <w:jc w:val="both"/>
        <w:rPr/>
      </w:pPr>
      <w:r>
        <w:rPr>
          <w:rFonts w:eastAsia="Arial" w:cs="Arial"/>
          <w:sz w:val="24"/>
          <w:szCs w:val="24"/>
        </w:rPr>
        <w:t>Palabras clave: inteligencia artificial, docencia, burocracia educativa, precarización, pedagogías emergentes.</w:t>
      </w:r>
    </w:p>
    <w:p>
      <w:pPr>
        <w:pStyle w:val="Normal"/>
        <w:spacing w:before="0" w:after="100"/>
        <w:rPr/>
      </w:pPr>
      <w:r>
        <w:rPr/>
      </w:r>
    </w:p>
    <w:p>
      <w:pPr>
        <w:pStyle w:val="Normal"/>
        <w:pBdr>
          <w:bottom w:val="single" w:sz="2" w:space="1" w:color="CCCCCC"/>
        </w:pBdr>
        <w:spacing w:before="0" w:after="300"/>
        <w:rPr/>
      </w:pPr>
      <w:r>
        <w:rPr/>
      </w:r>
    </w:p>
    <w:p>
      <w:pPr>
        <w:pStyle w:val="Normal"/>
        <w:spacing w:before="0" w:after="100"/>
        <w:rPr/>
      </w:pPr>
      <w:r>
        <w:rPr/>
      </w:r>
    </w:p>
    <w:p>
      <w:pPr>
        <w:pStyle w:val="Heading1"/>
        <w:spacing w:before="360" w:after="200"/>
        <w:rPr/>
      </w:pPr>
      <w:r>
        <w:rPr>
          <w:rFonts w:eastAsia="Arial" w:cs="Arial" w:ascii="Arial" w:hAnsi="Arial"/>
          <w:b/>
          <w:bCs/>
          <w:color w:val="1F3864"/>
          <w:sz w:val="28"/>
          <w:szCs w:val="28"/>
        </w:rPr>
        <w:t>1. Introducción: el docente entre la pantalla y el pizarrón</w:t>
      </w:r>
    </w:p>
    <w:p>
      <w:pPr>
        <w:pStyle w:val="Normal"/>
        <w:spacing w:lineRule="auto" w:line="276" w:before="0" w:after="200"/>
        <w:jc w:val="both"/>
        <w:rPr/>
      </w:pPr>
      <w:r>
        <w:rPr>
          <w:rFonts w:eastAsia="Arial" w:cs="Arial"/>
          <w:sz w:val="24"/>
          <w:szCs w:val="24"/>
        </w:rPr>
        <w:t>Existe una imagen que recorre las salas de profesores de muchas escuelas argentinas: la de un docente frente a la computadora, fuera del horario de clase, completando formularios en sistemas provinciales, actualizando planillas, redactando actas de reunión o preparando materiales de apoyo para estudiantes que, por diversas razones, no pueden asistir con regularidad. Esa imagen no es nueva en su estructura, pero sí en su intensidad y en sus mediaciones tecnológicas.</w:t>
      </w:r>
    </w:p>
    <w:p>
      <w:pPr>
        <w:pStyle w:val="Normal"/>
        <w:spacing w:lineRule="auto" w:line="276" w:before="0" w:after="200"/>
        <w:jc w:val="both"/>
        <w:rPr/>
      </w:pPr>
      <w:r>
        <w:rPr>
          <w:rFonts w:eastAsia="Arial" w:cs="Arial"/>
          <w:sz w:val="24"/>
          <w:szCs w:val="24"/>
        </w:rPr>
        <w:t>Lo que ha cambiado en los últimos años es la irrupción de la inteligencia artificial generativa como un actor más en esa escena. El docente ya no está solo frente a la pantalla: hay un algoritmo que le ofrece redactar el acta, generar la planificación, producir el resumen de contenidos, resumir la normativa de inasistencias. La pregunta que guía este artículo no es si eso es bueno o malo en términos abstractos, sino qué relaciones de poder, qué lógicas institucionales y qué efectos sobre la identidad profesional docente produce ese nuevo actor cuando opera en el marco de sistemas educativos con profundas desigualdades estructurales.</w:t>
      </w:r>
    </w:p>
    <w:p>
      <w:pPr>
        <w:pStyle w:val="Normal"/>
        <w:spacing w:lineRule="auto" w:line="276" w:before="0" w:after="200"/>
        <w:jc w:val="both"/>
        <w:rPr/>
      </w:pPr>
      <w:r>
        <w:rPr>
          <w:rFonts w:eastAsia="Arial" w:cs="Arial"/>
          <w:sz w:val="24"/>
          <w:szCs w:val="24"/>
        </w:rPr>
        <w:t>Como señala Scolari (2021), los límites entre lo físico y lo digital se vuelven cada vez más difusos, y los algoritmos comienzan a intervenir de manera creciente en nuestras formas de aprender, comunicarnos y pensar. Esa difusión de fronteras no es neutra: produce efectos diferenciales según quién tenga el control del algoritmo, quién sea el destinatario de sus productos y qué legitimidad institucional reciben sus resultados.</w:t>
      </w:r>
    </w:p>
    <w:p>
      <w:pPr>
        <w:pStyle w:val="Normal"/>
        <w:spacing w:before="0" w:after="100"/>
        <w:rPr/>
      </w:pPr>
      <w:r>
        <w:rPr/>
      </w:r>
    </w:p>
    <w:p>
      <w:pPr>
        <w:pStyle w:val="Heading1"/>
        <w:spacing w:before="360" w:after="200"/>
        <w:rPr/>
      </w:pPr>
      <w:r>
        <w:rPr>
          <w:rFonts w:eastAsia="Arial" w:cs="Arial" w:ascii="Arial" w:hAnsi="Arial"/>
          <w:b/>
          <w:bCs/>
          <w:color w:val="1F3864"/>
          <w:sz w:val="28"/>
          <w:szCs w:val="28"/>
        </w:rPr>
        <w:t>2. La transparencia como trampa: burocracia institucional y algoritmos</w:t>
      </w:r>
    </w:p>
    <w:p>
      <w:pPr>
        <w:pStyle w:val="Heading2"/>
        <w:spacing w:before="280" w:after="160"/>
        <w:rPr/>
      </w:pPr>
      <w:r>
        <w:rPr>
          <w:rFonts w:eastAsia="Arial" w:cs="Arial" w:ascii="Arial" w:hAnsi="Arial"/>
          <w:b/>
          <w:bCs/>
          <w:color w:val="2E5496"/>
          <w:sz w:val="26"/>
          <w:szCs w:val="26"/>
        </w:rPr>
        <w:t>2.1 Las reuniones institucionales: el ritual de la visibilidad</w:t>
      </w:r>
    </w:p>
    <w:p>
      <w:pPr>
        <w:pStyle w:val="Normal"/>
        <w:spacing w:lineRule="auto" w:line="276" w:before="0" w:after="200"/>
        <w:jc w:val="both"/>
        <w:rPr/>
      </w:pPr>
      <w:r>
        <w:rPr>
          <w:rFonts w:eastAsia="Arial" w:cs="Arial"/>
          <w:sz w:val="24"/>
          <w:szCs w:val="24"/>
        </w:rPr>
        <w:t>Las reuniones institucionales —actos académicos, jornadas de capacitación, reuniones de departamento, consejos de convivencia— constituyen uno de los pilares del trabajo docente no áulico. Tienen una función que excede lo administrativo: son el espacio donde se construyen acuerdos colectivos, donde se negocia el sentido de la práctica, donde la institución se piensa a sí misma. Sin embargo, desde hace años, una parte significativa del tiempo de esas reuniones se consume en la producción de documentación que justifique su realización ante los organismos de supervisión: actas, registros de asistencia, síntesis de acuerdos, evidencias fotográficas.</w:t>
      </w:r>
    </w:p>
    <w:p>
      <w:pPr>
        <w:pStyle w:val="Normal"/>
        <w:spacing w:lineRule="auto" w:line="276" w:before="0" w:after="200"/>
        <w:jc w:val="both"/>
        <w:rPr/>
      </w:pPr>
      <w:r>
        <w:rPr>
          <w:rFonts w:eastAsia="Arial" w:cs="Arial"/>
          <w:sz w:val="24"/>
          <w:szCs w:val="24"/>
        </w:rPr>
        <w:t>La IA generativa ha llegado a ese espacio como un acelerador de la producción documental. Un docente puede pedirle a un modelo de lenguaje que redacte el acta de una reunión a partir de apuntes dispersos, o que genere una síntesis de acuerdos en lenguaje institucional formal. El Estado, por su parte, puede utilizar sistemas automatizados para verificar la regularidad de esas producciones, detectar inconsistencias o estandarizar formatos. Ambos usos son comprensibles desde una lógica de eficiencia. Pero es precisamente esa lógica la que Byung-Chul Han (2013) pone en cuestión cuando analiza la sociedad de la transparencia.</w:t>
      </w:r>
    </w:p>
    <w:p>
      <w:pPr>
        <w:pStyle w:val="Normal"/>
        <w:spacing w:lineRule="auto" w:line="276" w:before="0" w:after="200"/>
        <w:jc w:val="both"/>
        <w:rPr/>
      </w:pPr>
      <w:r>
        <w:rPr>
          <w:rFonts w:eastAsia="Arial" w:cs="Arial"/>
          <w:sz w:val="24"/>
          <w:szCs w:val="24"/>
        </w:rPr>
        <w:t>Para Han (2013), la demanda de transparencia no es una demanda de verdad sino de control. La transparencia total elimina la distancia, la opacidad y la alteridad que hacen posible la confianza genuina. Cuando las reuniones institucionales se reducen a su documentación —cuando lo que importa es el acta y no el diálogo que la produjo—, la IA no hace sino acelerar un proceso de vaciamiento que ya estaba en marcha. El resultado es una institución que parece más eficiente y más transparente, pero que ha perdido la densidad relacional que la constituía como comunidad pedagógica.</w:t>
      </w:r>
    </w:p>
    <w:p>
      <w:pPr>
        <w:pStyle w:val="Normal"/>
        <w:spacing w:lineRule="auto" w:line="276" w:before="0" w:after="200"/>
        <w:jc w:val="both"/>
        <w:rPr/>
      </w:pPr>
      <w:r>
        <w:rPr>
          <w:rFonts w:eastAsia="Arial" w:cs="Arial"/>
          <w:i w:val="false"/>
          <w:iCs w:val="false"/>
          <w:sz w:val="24"/>
          <w:szCs w:val="24"/>
        </w:rPr>
        <w:t xml:space="preserve">Este fenómeno no es nuevo ni sorpresivo. Adell y Castañeda (2012) ya advertían que la mayoría de los docentes utilizan las TIC </w:t>
      </w:r>
      <w:r>
        <w:rPr>
          <w:rFonts w:eastAsia="Arial" w:cs="Arial"/>
          <w:i/>
          <w:iCs/>
          <w:sz w:val="24"/>
          <w:szCs w:val="24"/>
        </w:rPr>
        <w:t>ocasionalmente o como mera sustitución de tecnologías</w:t>
      </w:r>
      <w:r>
        <w:rPr>
          <w:rFonts w:eastAsia="Arial" w:cs="Arial"/>
          <w:i w:val="false"/>
          <w:iCs w:val="false"/>
          <w:sz w:val="24"/>
          <w:szCs w:val="24"/>
        </w:rPr>
        <w:t>, replicando prácticas conocidas con nuevos ropajes digitales. Lo que la IA generativa introduce es una aceleración de ese patrón sustitutivo: las reuniones siguen siendo iguales en su forma y propósito, pero ahora producen documentación más rápido, más voluminosa y más estandarizada. La eficiencia de la herramienta profundiza, paradójicamente, la vaciedad del proceso.</w:t>
      </w:r>
    </w:p>
    <w:p>
      <w:pPr>
        <w:pStyle w:val="Normal"/>
        <w:spacing w:lineRule="auto" w:line="276" w:before="0" w:after="200"/>
        <w:jc w:val="both"/>
        <w:rPr/>
      </w:pPr>
      <w:r>
        <w:rPr>
          <w:rFonts w:eastAsia="Arial" w:cs="Arial"/>
          <w:sz w:val="24"/>
          <w:szCs w:val="24"/>
        </w:rPr>
        <w:t>Innerarity (2025) advierte que las democracias y las instituciones modernas corren el riesgo de confundir la gestión algorítmica con la deliberación política. Trasladado al ámbito escolar, ese riesgo se concreta cuando el acta generada por IA reemplaza no solo la redacción sino el pensamiento colectivo que debería precederla. La reunión se hace para el acta, y el acta la hace el algoritmo.</w:t>
      </w:r>
    </w:p>
    <w:p>
      <w:pPr>
        <w:pStyle w:val="Normal"/>
        <w:spacing w:before="0" w:after="100"/>
        <w:rPr/>
      </w:pPr>
      <w:r>
        <w:rPr/>
      </w:r>
    </w:p>
    <w:p>
      <w:pPr>
        <w:pStyle w:val="Heading2"/>
        <w:spacing w:before="280" w:after="160"/>
        <w:rPr/>
      </w:pPr>
      <w:r>
        <w:rPr>
          <w:rFonts w:eastAsia="Arial" w:cs="Arial" w:ascii="Arial" w:hAnsi="Arial"/>
          <w:b/>
          <w:bCs/>
          <w:color w:val="2E5496"/>
          <w:sz w:val="26"/>
          <w:szCs w:val="26"/>
        </w:rPr>
        <w:t>2.2 Los sistemas de registro de inasistencias y licencias: el panóptico amable</w:t>
      </w:r>
    </w:p>
    <w:p>
      <w:pPr>
        <w:pStyle w:val="Normal"/>
        <w:spacing w:lineRule="auto" w:line="276" w:before="0" w:after="200"/>
        <w:jc w:val="both"/>
        <w:rPr/>
      </w:pPr>
      <w:r>
        <w:rPr>
          <w:rFonts w:eastAsia="Arial" w:cs="Arial"/>
          <w:sz w:val="24"/>
          <w:szCs w:val="24"/>
        </w:rPr>
        <w:t>Los sistemas provinciales de registro de inasistencias y licencias docentes representan uno de los espacios de mayor tensión entre la administración estatal y el trabajador de la educación. Diseñados para garantizar la transparencia en el uso del tiempo laboral y en el acceso a los derechos laborales, estos sistemas han evolucionado hacia plataformas digitales de carga en tiempo real que requieren una dedicación administrativa significativa por parte de los propios docentes.</w:t>
      </w:r>
    </w:p>
    <w:p>
      <w:pPr>
        <w:pStyle w:val="Normal"/>
        <w:spacing w:lineRule="auto" w:line="276" w:before="0" w:after="200"/>
        <w:jc w:val="both"/>
        <w:rPr/>
      </w:pPr>
      <w:r>
        <w:rPr>
          <w:rFonts w:eastAsia="Arial" w:cs="Arial"/>
          <w:sz w:val="24"/>
          <w:szCs w:val="24"/>
        </w:rPr>
        <w:t>La paradoja es notable: el Estado diseña sistemas que demandan tiempo de trabajo para registrar el tiempo de trabajo. Y en ese circuito, la IA puede operar en dos sentidos contrapuestos. Para el docente, puede convertirse en un asistente que le recuerda plazos, le ayuda a redactar las justificaciones de licencias o le orienta en la navegación de normativas complejas. Para el Estado empleador, puede convertirse en un sistema de detección de patrones, de alertas tempranas sobre ausentismo o de predicción de comportamientos.</w:t>
      </w:r>
    </w:p>
    <w:p>
      <w:pPr>
        <w:pStyle w:val="Normal"/>
        <w:spacing w:lineRule="auto" w:line="276" w:before="0" w:after="200"/>
        <w:jc w:val="both"/>
        <w:rPr/>
      </w:pPr>
      <w:r>
        <w:rPr>
          <w:rFonts w:eastAsia="Arial" w:cs="Arial"/>
          <w:sz w:val="24"/>
          <w:szCs w:val="24"/>
        </w:rPr>
        <w:t>Ozollo (2026) y Ozollo et al. (2023) señalan que la incorporación de tecnologías en los sistemas de gestión educativa no es un proceso técnico sino político, en la medida en que redistribuye poder, redefine roles y modifica las condiciones de posibilidad de la acción profesional. En el caso de los sistemas de registro, la IA no simplifica la burocracia: la desplaza hacia el docente al tiempo que la vuelve más eficiente para el Estado. El trabajador carga datos que luego son procesados por algoritmos cuya lógica no controla ni comprende del todo, produciendo informes que pueden afectar su situación laboral.</w:t>
      </w:r>
    </w:p>
    <w:p>
      <w:pPr>
        <w:pStyle w:val="Normal"/>
        <w:spacing w:lineRule="auto" w:line="276" w:before="0" w:after="200"/>
        <w:jc w:val="both"/>
        <w:rPr/>
      </w:pPr>
      <w:r>
        <w:rPr>
          <w:rFonts w:eastAsia="Arial" w:cs="Arial"/>
          <w:sz w:val="24"/>
          <w:szCs w:val="24"/>
        </w:rPr>
        <w:t>Han (2013) lo diría de otro modo: la sociedad de la transparencia produce sujetos que se autoexhiben, que internalizan la mirada del control y la reproducen sobre sí mismos. El docente que carga sus propias inasistencias en un sistema provincial no es simplemente un administrador de su propio tiempo: es un sujeto que participa activamente en su propia vigilancia.</w:t>
      </w:r>
    </w:p>
    <w:p>
      <w:pPr>
        <w:pStyle w:val="Normal"/>
        <w:spacing w:before="0" w:after="100"/>
        <w:rPr/>
      </w:pPr>
      <w:r>
        <w:rPr/>
      </w:r>
    </w:p>
    <w:p>
      <w:pPr>
        <w:pStyle w:val="Heading1"/>
        <w:spacing w:before="360" w:after="200"/>
        <w:rPr/>
      </w:pPr>
      <w:r>
        <w:rPr>
          <w:rFonts w:eastAsia="Arial" w:cs="Arial" w:ascii="Arial" w:hAnsi="Arial"/>
          <w:b/>
          <w:bCs/>
          <w:color w:val="1F3864"/>
          <w:sz w:val="28"/>
          <w:szCs w:val="28"/>
        </w:rPr>
        <w:t>3. La planificación como performance: entre la autonomía y el formato</w:t>
      </w:r>
    </w:p>
    <w:p>
      <w:pPr>
        <w:pStyle w:val="Normal"/>
        <w:spacing w:lineRule="auto" w:line="276" w:before="0" w:after="200"/>
        <w:jc w:val="both"/>
        <w:rPr/>
      </w:pPr>
      <w:r>
        <w:rPr>
          <w:rFonts w:eastAsia="Arial" w:cs="Arial"/>
          <w:sz w:val="24"/>
          <w:szCs w:val="24"/>
        </w:rPr>
        <w:t>La planificación didáctica es uno de los documentos más cargados de significado en la cultura profesional docente. Representa, al menos en su versión ideal, el momento en que el docente traduce el currículo oficial a una propuesta pedagógica situada, contextualizada, pensada para un grupo concreto de estudiantes en un tiempo y un espacio específicos. Es, en ese sentido, un acto de autoría intelectual.</w:t>
      </w:r>
    </w:p>
    <w:p>
      <w:pPr>
        <w:pStyle w:val="Normal"/>
        <w:spacing w:lineRule="auto" w:line="276" w:before="0" w:after="200"/>
        <w:jc w:val="both"/>
        <w:rPr/>
      </w:pPr>
      <w:r>
        <w:rPr>
          <w:rFonts w:eastAsia="Arial" w:cs="Arial"/>
          <w:sz w:val="24"/>
          <w:szCs w:val="24"/>
        </w:rPr>
        <w:t>Sin embargo, hace décadas que las escuelas exigen planificaciones que responden más a un formato institucional estandarizado que a una reflexión pedagógica genuina. Los casilleros que deben completarse —objetivos, contenidos, estrategias, recursos, evaluación, bibliografía— responden a una lógica tecnicista que, paradójicamente, puede vaciar de contenido el acto de planificar. El docente aprende rápidamente que lo que importa es que el documento esté, que tenga todos los campos completos, que sea entregado en tiempo y forma.</w:t>
      </w:r>
    </w:p>
    <w:p>
      <w:pPr>
        <w:pStyle w:val="Normal"/>
        <w:spacing w:lineRule="auto" w:line="276" w:before="0" w:after="200"/>
        <w:jc w:val="both"/>
        <w:rPr/>
      </w:pPr>
      <w:r>
        <w:rPr>
          <w:rFonts w:eastAsia="Arial" w:cs="Arial"/>
          <w:sz w:val="24"/>
          <w:szCs w:val="24"/>
        </w:rPr>
        <w:t>La IA generativa ha llegado a ese escenario con una eficiencia perturbadora. En pocos minutos, un modelo de lenguaje puede producir una planificación anual para cualquier materia y nivel, con la estructura exacta que la institución requiere, en el lenguaje técnico apropiado, sin errores ortográficos y con bibliografía actualizada. La pregunta que esto abre no es moral —si el docente que usa IA para planificar es un tramposo— sino epistemológica y política: ¿qué estaba siendo evaluado cuando se pedía la planificación, y qué se evalúa ahora?</w:t>
      </w:r>
    </w:p>
    <w:p>
      <w:pPr>
        <w:pStyle w:val="Normal"/>
        <w:spacing w:lineRule="auto" w:line="276" w:before="0" w:after="200"/>
        <w:jc w:val="both"/>
        <w:rPr/>
      </w:pPr>
      <w:r>
        <w:rPr>
          <w:rFonts w:eastAsia="Arial" w:cs="Arial"/>
          <w:i w:val="false"/>
          <w:iCs w:val="false"/>
          <w:sz w:val="24"/>
          <w:szCs w:val="24"/>
        </w:rPr>
        <w:t xml:space="preserve">Adell y Castañeda (2012), recuperando la Curva de Gartner, nos recuerdan que las tecnologías en educación atraviesan ciclos de sobreexpectación donde la primera etapa está impulsada por expectativas infundadas, con frecuencia creadas por los medios y por las propias instituciones que especulan sobre el potencial transformador de la herramienta. La IA generativa aplicada a la planificación docente parece transitar ese pico de expectativas: se la presenta como la solución a la carga burocrática, cuando en realidad lo que hace es producir más rápido un documento que, en muchos casos, nadie leerá con atención pedagógica. Como señalan esos mismos autores, </w:t>
      </w:r>
      <w:r>
        <w:rPr>
          <w:rFonts w:eastAsia="Arial" w:cs="Arial"/>
          <w:i/>
          <w:iCs/>
          <w:sz w:val="24"/>
          <w:szCs w:val="24"/>
        </w:rPr>
        <w:t>los primeros usos de las tecnologías emergentes suelen replicar procesos conocidos</w:t>
      </w:r>
      <w:r>
        <w:rPr>
          <w:rFonts w:eastAsia="Arial" w:cs="Arial"/>
          <w:i w:val="false"/>
          <w:iCs w:val="false"/>
          <w:sz w:val="24"/>
          <w:szCs w:val="24"/>
        </w:rPr>
        <w:t>, usándolas como sustitutos ventajosos de herramientas anteriores sin modificar las prácticas de fondo.</w:t>
      </w:r>
    </w:p>
    <w:p>
      <w:pPr>
        <w:pStyle w:val="Normal"/>
        <w:spacing w:lineRule="auto" w:line="276" w:before="0" w:after="200"/>
        <w:jc w:val="both"/>
        <w:rPr/>
      </w:pPr>
      <w:r>
        <w:rPr>
          <w:rFonts w:eastAsia="Arial" w:cs="Arial"/>
          <w:sz w:val="24"/>
          <w:szCs w:val="24"/>
        </w:rPr>
        <w:t>Magro (2026) nos invita a reflexionar sobre la contextualización de una encrucijada en la cual la inteligencia artificial no es solo una mera herramienta que nutre las aulas sino que es un reflejo que visibiliza las prácticas educativas que están atravesadas por los vínculos que se generan al aplicarlas en escuelas que también son refugios de promesas y campos de batalla. La planificación generada por IA visibiliza, precisamente, que lo que muchas instituciones pedían no era reflexión pedagógica sino su simulacro.</w:t>
      </w:r>
    </w:p>
    <w:p>
      <w:pPr>
        <w:pStyle w:val="Normal"/>
        <w:spacing w:lineRule="auto" w:line="276" w:before="0" w:after="200"/>
        <w:jc w:val="both"/>
        <w:rPr/>
      </w:pPr>
      <w:r>
        <w:rPr>
          <w:rFonts w:eastAsia="Arial" w:cs="Arial"/>
          <w:sz w:val="24"/>
          <w:szCs w:val="24"/>
        </w:rPr>
        <w:t>Esto no exime al docente de responsabilidad, pero sí obliga a repensar qué dispositivos institucionales promueven genuinamente el pensamiento pedagógico y cuáles solo exigen su representación formal. Como argumenta Innerarity (2025), las instituciones que reemplazan el juicio por el procedimiento no se vuelven más justas: se vuelven más ciegas.</w:t>
      </w:r>
    </w:p>
    <w:p>
      <w:pPr>
        <w:pStyle w:val="Normal"/>
        <w:spacing w:before="0" w:after="100"/>
        <w:rPr/>
      </w:pPr>
      <w:r>
        <w:rPr/>
      </w:r>
    </w:p>
    <w:p>
      <w:pPr>
        <w:pStyle w:val="Heading1"/>
        <w:spacing w:before="360" w:after="200"/>
        <w:rPr/>
      </w:pPr>
      <w:r>
        <w:rPr>
          <w:rFonts w:eastAsia="Arial" w:cs="Arial" w:ascii="Arial" w:hAnsi="Arial"/>
          <w:b/>
          <w:bCs/>
          <w:color w:val="1F3864"/>
          <w:sz w:val="28"/>
          <w:szCs w:val="28"/>
        </w:rPr>
        <w:t>4. Los contenidos para regímenes especiales: entre la inclusión y la automatización del cuidado</w:t>
      </w:r>
    </w:p>
    <w:p>
      <w:pPr>
        <w:pStyle w:val="Normal"/>
        <w:spacing w:lineRule="auto" w:line="276" w:before="0" w:after="200"/>
        <w:jc w:val="both"/>
        <w:rPr/>
      </w:pPr>
      <w:r>
        <w:rPr>
          <w:rFonts w:eastAsia="Arial" w:cs="Arial"/>
          <w:sz w:val="24"/>
          <w:szCs w:val="24"/>
        </w:rPr>
        <w:t>Una de las dimensiones menos visibles del trabajo docente es la producción de materiales pedagógicos para estudiantes que no pueden asistir regularmente a clases: estudiantes con enfermedades crónicas, situaciones de vulnerabilidad social, regímenes de alternancia, trabajadores, embarazadas o en período de posparto, entre otras situaciones contempladas por la normativa educativa vigente. La elaboración de libros de temas, resúmenes de contenidos, guías de actividades y apuntes personalizados representa una carga de trabajo invisible, no remunerada de manera diferenciada y raramente reconocida en los sistemas de evaluación docente.</w:t>
      </w:r>
    </w:p>
    <w:p>
      <w:pPr>
        <w:pStyle w:val="Normal"/>
        <w:spacing w:lineRule="auto" w:line="276" w:before="0" w:after="200"/>
        <w:jc w:val="both"/>
        <w:rPr/>
      </w:pPr>
      <w:r>
        <w:rPr>
          <w:rFonts w:eastAsia="Arial" w:cs="Arial"/>
          <w:sz w:val="24"/>
          <w:szCs w:val="24"/>
        </w:rPr>
        <w:t>La IA puede reducir dramáticamente el tiempo que insume esa producción. Un docente puede generar en minutos un resumen de contenidos, una guía de ejercitación o un cuestionario de autoevaluación. Eso tiene un valor real: libera tiempo para el vínculo, para la conversación con el estudiante, para la tutoría personalizada que ningún algoritmo puede reemplazar. Pero también tiene un riesgo igualmente real: que la producción automatizada de materiales se convierta en el sustituto de ese vínculo, y no en su facilitador.</w:t>
      </w:r>
    </w:p>
    <w:p>
      <w:pPr>
        <w:pStyle w:val="Normal"/>
        <w:spacing w:lineRule="auto" w:line="276" w:before="0" w:after="200"/>
        <w:jc w:val="both"/>
        <w:rPr/>
      </w:pPr>
      <w:r>
        <w:rPr>
          <w:rFonts w:eastAsia="Arial" w:cs="Arial"/>
          <w:sz w:val="24"/>
          <w:szCs w:val="24"/>
        </w:rPr>
        <w:t>Scolari (2021) señala que en los entornos digitales los procesos de aprendizaje se reorganizan alrededor de nuevas ecologías mediáticas donde la transmisión lineal de contenidos es solo una de las posibles modalidades. Para los estudiantes en regímenes especiales, esa reorganización es especialmente significativa: sus trayectorias educativas ya son discontinuas, fragmentadas, atravesadas por condicionantes que la institución frecuentemente no puede resolver. Recibir un material generado por IA —aunque técnicamente correcto y pedagógicamente adecuado— puede reforzar la sensación de ser un destinatario de un servicio en lugar de un participante de una comunidad educativa.</w:t>
      </w:r>
    </w:p>
    <w:p>
      <w:pPr>
        <w:pStyle w:val="Normal"/>
        <w:spacing w:lineRule="auto" w:line="276" w:before="0" w:after="200"/>
        <w:jc w:val="both"/>
        <w:rPr/>
      </w:pPr>
      <w:r>
        <w:rPr>
          <w:rFonts w:eastAsia="Arial" w:cs="Arial"/>
          <w:sz w:val="24"/>
          <w:szCs w:val="24"/>
        </w:rPr>
        <w:t>Ozollo et al. (2023) advierten que la incorporación de tecnologías en contextos de vulnerabilidad educativa requiere un análisis cuidadoso de los efectos de reproducción de desigualdad. La automatización del cuidado —la delegación en algoritmos de tareas que implican reconocimiento, atención y responsabilidad hacia el otro— no es inocua. Puede, bajo la apariencia de eficiencia e inclusión, profundizar la distancia entre la institución y los estudiantes que más necesitan ser reconocidos como sujetos y no como casos.</w:t>
      </w:r>
    </w:p>
    <w:p>
      <w:pPr>
        <w:pStyle w:val="Normal"/>
        <w:spacing w:before="0" w:after="100"/>
        <w:rPr/>
      </w:pPr>
      <w:r>
        <w:rPr/>
      </w:r>
    </w:p>
    <w:p>
      <w:pPr>
        <w:pStyle w:val="Heading1"/>
        <w:spacing w:before="360" w:after="200"/>
        <w:rPr/>
      </w:pPr>
      <w:r>
        <w:rPr>
          <w:rFonts w:eastAsia="Arial" w:cs="Arial" w:ascii="Arial" w:hAnsi="Arial"/>
          <w:b/>
          <w:bCs/>
          <w:color w:val="1F3864"/>
          <w:sz w:val="28"/>
          <w:szCs w:val="28"/>
        </w:rPr>
        <w:t>5. La precarización algorítmica: cuando el lubricante se convierte en abrasivo</w:t>
      </w:r>
    </w:p>
    <w:p>
      <w:pPr>
        <w:pStyle w:val="Normal"/>
        <w:spacing w:lineRule="auto" w:line="276" w:before="0" w:after="200"/>
        <w:jc w:val="both"/>
        <w:rPr/>
      </w:pPr>
      <w:r>
        <w:rPr>
          <w:rFonts w:eastAsia="Arial" w:cs="Arial"/>
          <w:sz w:val="24"/>
          <w:szCs w:val="24"/>
        </w:rPr>
        <w:t>Hasta aquí hemos analizado cuatro prácticas del quehacer docente y la forma en que la IA opera en cada una de ellas como facilitador o acelerador. Pero hay una dimensión que atraviesa todas estas situaciones y que merece ser nombrada con claridad: el riesgo de que el uso sistemático de la IA en las tareas burocráticas y pedagógicas docentes contribuya a la precarización de la práctica educativa.</w:t>
      </w:r>
    </w:p>
    <w:p>
      <w:pPr>
        <w:pStyle w:val="Normal"/>
        <w:spacing w:lineRule="auto" w:line="276" w:before="0" w:after="200"/>
        <w:jc w:val="both"/>
        <w:rPr/>
      </w:pPr>
      <w:r>
        <w:rPr>
          <w:rFonts w:eastAsia="Arial" w:cs="Arial"/>
          <w:sz w:val="24"/>
          <w:szCs w:val="24"/>
        </w:rPr>
        <w:t>Entendemos precarización no solo en el sentido económico —aunque ese sentido está también presente—, sino en un sentido más amplio: el deterioro de las condiciones que hacen posible el ejercicio autónomo, reflexivo y éticamente responsable de la docencia. La precarización algorítmica se produce cuando la IA no amplía la capacidad de acción del docente sino que la sustituye; cuando no libera tiempo para pensar sino que ocupa ese tiempo con nuevas exigencias de carga, verificación y control; cuando no fortalece el juicio profesional sino que lo vuelve prescindible.</w:t>
      </w:r>
    </w:p>
    <w:p>
      <w:pPr>
        <w:pStyle w:val="Normal"/>
        <w:spacing w:lineRule="auto" w:line="276" w:before="0" w:after="200"/>
        <w:jc w:val="both"/>
        <w:rPr/>
      </w:pPr>
      <w:r>
        <w:rPr>
          <w:rFonts w:eastAsia="Arial" w:cs="Arial"/>
          <w:sz w:val="24"/>
          <w:szCs w:val="24"/>
        </w:rPr>
        <w:t>Han (2013) describe una sociedad donde la aceleración y la transparencia producen sujetos agotados, no por el exceso de prohibición sino por el exceso de posibilidad. El docente que puede hacer todo más rápido con IA no tiene necesariamente más tiempo libre: tiene más tareas que completar en el mismo tiempo, más formatos que cumplir, más plataformas que actualizar. La eficiencia prometida se convierte en densificación del trabajo.</w:t>
      </w:r>
    </w:p>
    <w:p>
      <w:pPr>
        <w:pStyle w:val="Normal"/>
        <w:spacing w:lineRule="auto" w:line="276" w:before="0" w:after="200"/>
        <w:jc w:val="both"/>
        <w:rPr/>
      </w:pPr>
      <w:r>
        <w:rPr>
          <w:rFonts w:eastAsia="Arial" w:cs="Arial"/>
          <w:i w:val="false"/>
          <w:iCs w:val="false"/>
          <w:sz w:val="24"/>
          <w:szCs w:val="24"/>
        </w:rPr>
        <w:t xml:space="preserve">Esta tensión entre posibilidad y restricción no es nueva en el campo de la tecnología educativa. Adell y Castañeda (2012) sostienen que la relación entre tecnología y pedagogía es compleja y simbiótica: </w:t>
      </w:r>
      <w:r>
        <w:rPr>
          <w:rFonts w:eastAsia="Arial" w:cs="Arial"/>
          <w:i/>
          <w:iCs/>
          <w:sz w:val="24"/>
          <w:szCs w:val="24"/>
        </w:rPr>
        <w:t>la tecnología conforma la práctica educativa ofreciendo posibilidades y limitaciones, mientras que la práctica educativa moldea el uso de la tecnología, la evoluciona y la convierte en parte indisociable de la práctica</w:t>
      </w:r>
      <w:r>
        <w:rPr>
          <w:rFonts w:eastAsia="Arial" w:cs="Arial"/>
          <w:i w:val="false"/>
          <w:iCs w:val="false"/>
          <w:sz w:val="24"/>
          <w:szCs w:val="24"/>
        </w:rPr>
        <w:t>. Esta coevolución implica que ninguno de los dos términos es neutro ni determinante por sí solo. Cuando el Estado impone plataformas de gestión sin consultar a los docentes, y cuando el mercado tecnológico ofrece herramientas de IA sin considerar las condiciones reales de trabajo en las escuelas, se rompe esa relación simbiótica y la tecnología deja de conformar la práctica para simplemente imponérsele. El resultado no es innovación: es subsunción.</w:t>
      </w:r>
    </w:p>
    <w:p>
      <w:pPr>
        <w:pStyle w:val="Normal"/>
        <w:spacing w:lineRule="auto" w:line="276" w:before="0" w:after="200"/>
        <w:jc w:val="both"/>
        <w:rPr/>
      </w:pPr>
      <w:r>
        <w:rPr>
          <w:rFonts w:eastAsia="Arial" w:cs="Arial"/>
          <w:sz w:val="24"/>
          <w:szCs w:val="24"/>
        </w:rPr>
        <w:t>Ozollo (2026) plantea que la relación entre tecnología y trabajo docente no puede analizarse por fuera de las condiciones materiales e institucionales en que se produce. En sistemas educativos donde el Estado utiliza la IA para aumentar los requerimientos de documentación y control sin aumentar proporcionalmente los recursos humanos y materiales disponibles, la IA funciona como un mecanismo de extracción de valor del trabajo docente: hace que el mismo cuerpo, en el mismo tiempo, produzca más documentos, más informes, más materiales. Eso no es progreso tecnológico: es intensificación del trabajo.</w:t>
      </w:r>
    </w:p>
    <w:p>
      <w:pPr>
        <w:pStyle w:val="Normal"/>
        <w:spacing w:lineRule="auto" w:line="276" w:before="0" w:after="200"/>
        <w:jc w:val="both"/>
        <w:rPr/>
      </w:pPr>
      <w:r>
        <w:rPr>
          <w:rFonts w:eastAsia="Arial" w:cs="Arial"/>
          <w:sz w:val="24"/>
          <w:szCs w:val="24"/>
        </w:rPr>
        <w:t>Magro (2026) insiste en que la educación necesita no solo incorporar herramientas digitales sino desarrollar una cultura crítica respecto de ellas. Esa cultura crítica implica, entre otras cosas, reconocer cuándo la IA opera como un recurso que amplía la capacidad humana y cuándo opera como un sustituto que la erosiona. La diferencia no está en la herramienta sino en las condiciones institucionales, las relaciones de poder y las decisiones políticas que enmarcan su uso.</w:t>
      </w:r>
    </w:p>
    <w:p>
      <w:pPr>
        <w:pStyle w:val="Normal"/>
        <w:spacing w:before="0" w:after="100"/>
        <w:rPr/>
      </w:pPr>
      <w:r>
        <w:rPr/>
      </w:r>
    </w:p>
    <w:p>
      <w:pPr>
        <w:pStyle w:val="Heading1"/>
        <w:spacing w:before="360" w:after="200"/>
        <w:rPr/>
      </w:pPr>
      <w:r>
        <w:rPr>
          <w:rFonts w:eastAsia="Arial" w:cs="Arial" w:ascii="Arial" w:hAnsi="Arial"/>
          <w:b/>
          <w:bCs/>
          <w:color w:val="1F3864"/>
          <w:sz w:val="28"/>
          <w:szCs w:val="28"/>
        </w:rPr>
        <w:t>6. ¿Quién controla el algoritmo? El Estado como empleador digital</w:t>
      </w:r>
    </w:p>
    <w:p>
      <w:pPr>
        <w:pStyle w:val="Normal"/>
        <w:spacing w:lineRule="auto" w:line="276" w:before="0" w:after="200"/>
        <w:jc w:val="both"/>
        <w:rPr/>
      </w:pPr>
      <w:r>
        <w:rPr>
          <w:rFonts w:eastAsia="Arial" w:cs="Arial"/>
          <w:sz w:val="24"/>
          <w:szCs w:val="24"/>
        </w:rPr>
        <w:t>Una dimensión frecuentemente omitida en los debates sobre IA y educación es la asimetría de poder que existe entre el Estado como empleador y el docente como trabajador cuando ambos recurren a sistemas de inteligencia artificial. Esa asimetría no es nueva —siempre ha existido una diferencia de poder entre quien establece las normas y quien debe cumplirlas—, pero la IA la transforma cualitativamente.</w:t>
      </w:r>
    </w:p>
    <w:p>
      <w:pPr>
        <w:pStyle w:val="Normal"/>
        <w:spacing w:lineRule="auto" w:line="276" w:before="0" w:after="200"/>
        <w:jc w:val="both"/>
        <w:rPr/>
      </w:pPr>
      <w:r>
        <w:rPr>
          <w:rFonts w:eastAsia="Arial" w:cs="Arial"/>
          <w:sz w:val="24"/>
          <w:szCs w:val="24"/>
        </w:rPr>
        <w:t>El Estado puede implementar sistemas de IA para analizar patrones de ausentismo, detectar inconsistencias en planificaciones, verificar la cobertura curricular o evaluar el desempeño docente a través de métricas algorítmicas. El docente, por su parte, puede usar IA para producir los documentos que esos sistemas evaluarán. Se genera así una suerte de carrera armamentista burocrática: el algoritmo del Estado evalúa los documentos producidos por el algoritmo del docente, y ninguno de los dos actores humanos tiene control real sobre los criterios que rigen esa evaluación.</w:t>
      </w:r>
    </w:p>
    <w:p>
      <w:pPr>
        <w:pStyle w:val="Normal"/>
        <w:spacing w:lineRule="auto" w:line="276" w:before="0" w:after="200"/>
        <w:jc w:val="both"/>
        <w:rPr/>
      </w:pPr>
      <w:r>
        <w:rPr>
          <w:rFonts w:eastAsia="Arial" w:cs="Arial"/>
          <w:sz w:val="24"/>
          <w:szCs w:val="24"/>
        </w:rPr>
        <w:t>Innerarity (2025) señala que uno de los grandes desafíos de las democracias contemporáneas es mantener la capacidad de deliberación colectiva frente a la delegación creciente de decisiones en sistemas automatizados. En el ámbito educativo, esa delegación tiene consecuencias directas sobre la carrera docente, las condiciones de trabajo y, en última instancia, sobre la calidad de la educación que reciben los estudiantes. Cuando las decisiones sobre habilitación, titularidad o desempeño docente comienzan a estar mediadas por algoritmos cuyos criterios no son públicos ni discutibles, la posibilidad de impugnarlas democráticamente se reduce.</w:t>
      </w:r>
    </w:p>
    <w:p>
      <w:pPr>
        <w:pStyle w:val="Normal"/>
        <w:spacing w:lineRule="auto" w:line="276" w:before="0" w:after="200"/>
        <w:jc w:val="both"/>
        <w:rPr/>
      </w:pPr>
      <w:r>
        <w:rPr>
          <w:rFonts w:eastAsia="Arial" w:cs="Arial"/>
          <w:sz w:val="24"/>
          <w:szCs w:val="24"/>
        </w:rPr>
        <w:t>No se trata de proponer una resistencia ludita a la tecnología. Se trata, como argumenta Scolari (2021), de desarrollar las competencias necesarias para navegar críticamente en ecosistemas mediáticos cada vez más complejos. Para los docentes, eso significa no solo saber usar la IA sino comprender cómo la IA los usa a ellos: qué datos produce, quién los analiza, con qué fines y bajo qué marcos regulatorios.</w:t>
      </w:r>
    </w:p>
    <w:p>
      <w:pPr>
        <w:pStyle w:val="Normal"/>
        <w:spacing w:before="0" w:after="100"/>
        <w:rPr/>
      </w:pPr>
      <w:r>
        <w:rPr/>
      </w:r>
    </w:p>
    <w:p>
      <w:pPr>
        <w:pStyle w:val="Heading1"/>
        <w:spacing w:before="360" w:after="200"/>
        <w:rPr/>
      </w:pPr>
      <w:r>
        <w:rPr>
          <w:rFonts w:eastAsia="Arial" w:cs="Arial" w:ascii="Arial" w:hAnsi="Arial"/>
          <w:b/>
          <w:bCs/>
          <w:color w:val="1F3864"/>
          <w:sz w:val="28"/>
          <w:szCs w:val="28"/>
        </w:rPr>
        <w:t>7. La escuela como campo de batalla y refugio de promesas</w:t>
      </w:r>
    </w:p>
    <w:p>
      <w:pPr>
        <w:pStyle w:val="Normal"/>
        <w:spacing w:lineRule="auto" w:line="276" w:before="0" w:after="200"/>
        <w:jc w:val="both"/>
        <w:rPr/>
      </w:pPr>
      <w:r>
        <w:rPr>
          <w:rFonts w:eastAsia="Arial" w:cs="Arial"/>
          <w:sz w:val="24"/>
          <w:szCs w:val="24"/>
        </w:rPr>
        <w:t>Hemos recorrido cuatro prácticas del quehacer docente y hemos identificado en cada una de ellas la presencia de la IA como lubricante y como abrasivo. Antes de avanzar hacia las conclusiones, es necesario recuperar una perspectiva que el análisis crítico a veces oscurece: la escuela no es solo un lugar de control, burocracia y precarización. Es también, y fundamentalmente, un espacio de encuentro, de construcción de sentido, de protección y de esperanza.</w:t>
      </w:r>
    </w:p>
    <w:p>
      <w:pPr>
        <w:pStyle w:val="Normal"/>
        <w:spacing w:lineRule="auto" w:line="276" w:before="0" w:after="200"/>
        <w:jc w:val="both"/>
        <w:rPr/>
      </w:pPr>
      <w:r>
        <w:rPr>
          <w:rFonts w:eastAsia="Arial" w:cs="Arial"/>
          <w:sz w:val="24"/>
          <w:szCs w:val="24"/>
        </w:rPr>
        <w:t>Magro (2026) nos recuerda que las escuelas son simultáneamente refugios de promesas y campos de batalla. Esa doble condición no desaparece con la llegada de la IA: se complejiza. La misma tecnología que puede reducir la carga burocrática y liberar tiempo para el vínculo también puede —si se la deja operar sin reflexión crítica— colonizar ese vínculo, volviéndolo eficiente, predecible y, en última instancia, vaciado de la singularidad que lo hace pedagógicamente valioso.</w:t>
      </w:r>
    </w:p>
    <w:p>
      <w:pPr>
        <w:pStyle w:val="Normal"/>
        <w:spacing w:lineRule="auto" w:line="276" w:before="0" w:after="200"/>
        <w:jc w:val="both"/>
        <w:rPr/>
      </w:pPr>
      <w:r>
        <w:rPr>
          <w:rFonts w:eastAsia="Arial" w:cs="Arial"/>
          <w:sz w:val="24"/>
          <w:szCs w:val="24"/>
        </w:rPr>
        <w:t>La dimensión del cuidado —que es constitutiva de la práctica docente, especialmente con estudiantes en situaciones de vulnerabilidad— no puede ser automatizada sin pérdida. No porque la tecnología sea incapaz de producir respuestas apropiadas, sino porque el cuidado implica reconocimiento: la capacidad de ver a alguien como un sujeto singular, con una historia, un contexto y una dignidad que no se reducen a ningún perfil algorítmico. Ese reconocimiento es lo que convierte la transmisión de contenidos en educación.</w:t>
      </w:r>
    </w:p>
    <w:p>
      <w:pPr>
        <w:pStyle w:val="Normal"/>
        <w:spacing w:lineRule="auto" w:line="276" w:before="0" w:after="200"/>
        <w:jc w:val="both"/>
        <w:rPr/>
      </w:pPr>
      <w:r>
        <w:rPr>
          <w:rFonts w:eastAsia="Arial" w:cs="Arial"/>
          <w:sz w:val="24"/>
          <w:szCs w:val="24"/>
        </w:rPr>
        <w:t>Ozollo (2026) propone pensar la tecnología educativa no como un conjunto de herramientas sino como un campo de fuerzas atravesado por intereses, valores y relaciones de poder que es necesario hacer explícitos para poder transformarlos. Esa perspectiva invita a los docentes no solo a usar críticamente la IA sino a participar activamente en la discusión sobre cómo, para qué y bajo qué condiciones se incorpora a los sistemas educativos.</w:t>
      </w:r>
    </w:p>
    <w:p>
      <w:pPr>
        <w:pStyle w:val="Normal"/>
        <w:spacing w:before="0" w:after="100"/>
        <w:rPr/>
      </w:pPr>
      <w:r>
        <w:rPr/>
      </w:r>
    </w:p>
    <w:p>
      <w:pPr>
        <w:pStyle w:val="Heading1"/>
        <w:spacing w:before="360" w:after="200"/>
        <w:rPr/>
      </w:pPr>
      <w:r>
        <w:rPr>
          <w:rFonts w:eastAsia="Arial" w:cs="Arial" w:ascii="Arial" w:hAnsi="Arial"/>
          <w:b/>
          <w:bCs/>
          <w:color w:val="1F3864"/>
          <w:sz w:val="28"/>
          <w:szCs w:val="28"/>
        </w:rPr>
        <w:t>8. Conclusiones: hacia una pedagogía de la deliberación algorítmica</w:t>
      </w:r>
    </w:p>
    <w:p>
      <w:pPr>
        <w:pStyle w:val="Normal"/>
        <w:spacing w:lineRule="auto" w:line="276" w:before="0" w:after="200"/>
        <w:jc w:val="both"/>
        <w:rPr/>
      </w:pPr>
      <w:r>
        <w:rPr>
          <w:rFonts w:eastAsia="Arial" w:cs="Arial"/>
          <w:sz w:val="24"/>
          <w:szCs w:val="24"/>
        </w:rPr>
        <w:t>El recorrido realizado en este artículo permite sostener, con fundamentos teóricos y empíricos, que la inteligencia artificial no es un fenómeno ajeno al quehacer docente sino que ya lo atraviesa de manera profunda y creciente. Las reuniones institucionales, los sistemas de registro de inasistencias, las planificaciones y los materiales para regímenes especiales son cuatro terrenos donde esa presencia se manifiesta de formas concretas, con efectos reales sobre las condiciones de trabajo y sobre la identidad profesional docente.</w:t>
      </w:r>
    </w:p>
    <w:p>
      <w:pPr>
        <w:pStyle w:val="Normal"/>
        <w:spacing w:lineRule="auto" w:line="276" w:before="0" w:after="200"/>
        <w:jc w:val="both"/>
        <w:rPr/>
      </w:pPr>
      <w:r>
        <w:rPr>
          <w:rFonts w:eastAsia="Arial" w:cs="Arial"/>
          <w:sz w:val="24"/>
          <w:szCs w:val="24"/>
        </w:rPr>
        <w:t>La tesis que hemos sostenido a lo largo del artículo es que la IA opera simultáneamente como lubricante y como abrasivo. Como lubricante, reduce la fricción de las tareas burocráticas, libera tiempo y permite que los docentes destinen energía a lo que realmente importa: el vínculo pedagógico, la reflexión curricular, el acompañamiento de las trayectorias estudiantiles. Como abrasivo, cuando se la utiliza de manera irrestricta y acrítica —tanto por parte del docente como del Estado empleador—, erosiona la autonomía profesional, intensifica el trabajo, degrada los procesos de reflexión colectiva y profundiza las asimetrías de poder.</w:t>
      </w:r>
    </w:p>
    <w:p>
      <w:pPr>
        <w:pStyle w:val="Normal"/>
        <w:spacing w:lineRule="auto" w:line="276" w:before="0" w:after="200"/>
        <w:jc w:val="both"/>
        <w:rPr/>
      </w:pPr>
      <w:r>
        <w:rPr>
          <w:rFonts w:eastAsia="Arial" w:cs="Arial"/>
          <w:sz w:val="24"/>
          <w:szCs w:val="24"/>
        </w:rPr>
        <w:t>Frente a ese diagnóstico, la respuesta no puede ser la prohibición ni la adopción incondicional. Debe ser, como propone Innerarity (2025), la recuperación de la capacidad de deliberación: la posibilidad de que los actores educativos —docentes, directivos, estudiantes, familias, organizaciones gremiales— participen activamente en la discusión sobre qué tareas se delegan en algoritmos, qué queda reservado al juicio humano y bajo qué condiciones se garantiza que la eficiencia no se consiga a costa de la dignidad.</w:t>
      </w:r>
    </w:p>
    <w:p>
      <w:pPr>
        <w:pStyle w:val="Normal"/>
        <w:spacing w:lineRule="auto" w:line="276" w:before="0" w:after="200"/>
        <w:jc w:val="both"/>
        <w:rPr/>
      </w:pPr>
      <w:r>
        <w:rPr>
          <w:rFonts w:eastAsia="Arial" w:cs="Arial"/>
          <w:i w:val="false"/>
          <w:iCs w:val="false"/>
          <w:sz w:val="24"/>
          <w:szCs w:val="24"/>
        </w:rPr>
        <w:t xml:space="preserve">En este horizonte, las pedagogías emergentes que describen Adell y Castañeda (2012) ofrecen una brújula orientadora: aquellas prácticas que </w:t>
      </w:r>
      <w:r>
        <w:rPr>
          <w:rFonts w:eastAsia="Arial" w:cs="Arial"/>
          <w:i/>
          <w:iCs/>
          <w:sz w:val="24"/>
          <w:szCs w:val="24"/>
        </w:rPr>
        <w:t>van más allá de la adquisición de conocimientos o de habilidades concretas</w:t>
      </w:r>
      <w:r>
        <w:rPr>
          <w:rFonts w:eastAsia="Arial" w:cs="Arial"/>
          <w:i w:val="false"/>
          <w:iCs w:val="false"/>
          <w:sz w:val="24"/>
          <w:szCs w:val="24"/>
        </w:rPr>
        <w:t>, que potencian la metacognición, la colaboración y el compromiso con el propio aprendizaje, que convierten las actividades escolares en experiencias personalmente significativas. Esos rasgos no son incompatibles con la IA; son, precisamente, los que la IA no puede garantizar por sí sola. La tecnología puede proveer el scaffolding procedimental; el sentido, el vínculo y la emancipación siguen siendo una responsabilidad humana e institucional.</w:t>
      </w:r>
    </w:p>
    <w:p>
      <w:pPr>
        <w:pStyle w:val="Normal"/>
        <w:spacing w:lineRule="auto" w:line="276" w:before="0" w:after="200"/>
        <w:jc w:val="both"/>
        <w:rPr/>
      </w:pPr>
      <w:r>
        <w:rPr>
          <w:rFonts w:eastAsia="Arial" w:cs="Arial"/>
          <w:sz w:val="24"/>
          <w:szCs w:val="24"/>
        </w:rPr>
        <w:t>Han (2013) nos advierte que la transparencia total no produce libertad sino control. La pedagogía que necesitamos no es la de la transparencia algorítmica sino la de la opacidad productiva: la que reconoce que los procesos de aprendizaje, de reflexión y de construcción comunitaria requieren tiempo, incertidumbre y espacio para el error. Ningún algoritmo puede optimizar eso sin destruirlo.</w:t>
      </w:r>
    </w:p>
    <w:p>
      <w:pPr>
        <w:pStyle w:val="Normal"/>
        <w:spacing w:lineRule="auto" w:line="276" w:before="0" w:after="200"/>
        <w:jc w:val="both"/>
        <w:rPr/>
      </w:pPr>
      <w:r>
        <w:rPr>
          <w:rFonts w:eastAsia="Arial" w:cs="Arial"/>
          <w:sz w:val="24"/>
          <w:szCs w:val="24"/>
        </w:rPr>
        <w:t>En última instancia, la pregunta que este artículo deja abierta es política: ¿quién decide cómo se usa la IA en la educación? Si esa decisión queda exclusivamente en manos del mercado tecnológico o del Estado como gestor administrativo, el resultado previsible es una educación más eficiente en sus formas y más empobrecida en su sustancia. Si, en cambio, esa decisión se construye colectivamente, con los docentes como sujetos activos y no como destinatarios pasivos, la IA puede convertirse en lo que genuinamente podría ser: una herramienta al servicio de la emancipación, y no de la domesticación.</w:t>
      </w:r>
    </w:p>
    <w:p>
      <w:pPr>
        <w:pStyle w:val="Normal"/>
        <w:spacing w:before="0" w:after="100"/>
        <w:rPr/>
      </w:pPr>
      <w:r>
        <w:rPr/>
      </w:r>
    </w:p>
    <w:p>
      <w:pPr>
        <w:pStyle w:val="Normal"/>
        <w:pBdr>
          <w:bottom w:val="single" w:sz="2" w:space="1" w:color="CCCCCC"/>
        </w:pBdr>
        <w:spacing w:before="0" w:after="300"/>
        <w:rPr/>
      </w:pPr>
      <w:r>
        <w:rPr/>
      </w:r>
    </w:p>
    <w:p>
      <w:pPr>
        <w:pStyle w:val="Normal"/>
        <w:spacing w:before="0" w:after="100"/>
        <w:rPr/>
      </w:pPr>
      <w:r>
        <w:rPr/>
      </w:r>
    </w:p>
    <w:p>
      <w:pPr>
        <w:pStyle w:val="Heading1"/>
        <w:spacing w:before="360" w:after="200"/>
        <w:rPr/>
      </w:pPr>
      <w:r>
        <w:rPr>
          <w:rFonts w:eastAsia="Arial" w:cs="Arial" w:ascii="Arial" w:hAnsi="Arial"/>
          <w:b/>
          <w:bCs/>
          <w:color w:val="1F3864"/>
          <w:sz w:val="28"/>
          <w:szCs w:val="28"/>
        </w:rPr>
        <w:t>Referencias</w:t>
      </w:r>
    </w:p>
    <w:p>
      <w:pPr>
        <w:pStyle w:val="Normal"/>
        <w:spacing w:lineRule="auto" w:line="276" w:before="0" w:after="160"/>
        <w:ind w:hanging="720" w:start="720"/>
        <w:jc w:val="both"/>
        <w:rPr/>
      </w:pPr>
      <w:r>
        <w:rPr>
          <w:rFonts w:eastAsia="Arial" w:cs="Arial"/>
          <w:sz w:val="24"/>
          <w:szCs w:val="24"/>
        </w:rPr>
        <w:t>Adell, J. y Castañeda, L. (2012). Tecnologías emergentes, ¿pedagogías emergentes? En J. Hernández, M. Pennesi, D. Sobrino y A. Vázquez (Coords.), Tendencias emergentes en educación con TIC (pp. 13–32). Asociación Espiral, Educación y Tecnología.</w:t>
      </w:r>
    </w:p>
    <w:p>
      <w:pPr>
        <w:pStyle w:val="Normal"/>
        <w:spacing w:lineRule="auto" w:line="276" w:before="0" w:after="160"/>
        <w:ind w:hanging="720" w:start="720"/>
        <w:jc w:val="both"/>
        <w:rPr/>
      </w:pPr>
      <w:r>
        <w:rPr>
          <w:rFonts w:eastAsia="Arial" w:cs="Arial"/>
          <w:sz w:val="24"/>
          <w:szCs w:val="24"/>
        </w:rPr>
        <w:t>Han, B.-C. (2013). La sociedad de la transparencia. Herder.</w:t>
      </w:r>
    </w:p>
    <w:p>
      <w:pPr>
        <w:pStyle w:val="Normal"/>
        <w:spacing w:lineRule="auto" w:line="276" w:before="0" w:after="160"/>
        <w:ind w:hanging="720" w:start="720"/>
        <w:jc w:val="both"/>
        <w:rPr/>
      </w:pPr>
      <w:r>
        <w:rPr>
          <w:rFonts w:eastAsia="Arial" w:cs="Arial"/>
          <w:sz w:val="24"/>
          <w:szCs w:val="24"/>
        </w:rPr>
        <w:t>Innerarity, D. (2025). La política en tiempos de inteligencia artificial: deliberación, automatización y democracia. Galaxia Gutenberg.</w:t>
      </w:r>
    </w:p>
    <w:p>
      <w:pPr>
        <w:pStyle w:val="Normal"/>
        <w:spacing w:lineRule="auto" w:line="276" w:before="0" w:after="160"/>
        <w:ind w:hanging="720" w:start="720"/>
        <w:jc w:val="both"/>
        <w:rPr/>
      </w:pPr>
      <w:r>
        <w:rPr>
          <w:rFonts w:eastAsia="Arial" w:cs="Arial"/>
          <w:sz w:val="24"/>
          <w:szCs w:val="24"/>
        </w:rPr>
        <w:t>Magro, C. (2026). Encrucijadas digitales: inteligencia artificial, escuelas y práctica educativa. Narcea.</w:t>
      </w:r>
    </w:p>
    <w:p>
      <w:pPr>
        <w:pStyle w:val="Normal"/>
        <w:spacing w:lineRule="auto" w:line="276" w:before="0" w:after="160"/>
        <w:ind w:hanging="720" w:start="720"/>
        <w:jc w:val="both"/>
        <w:rPr/>
      </w:pPr>
      <w:r>
        <w:rPr>
          <w:rFonts w:eastAsia="Arial" w:cs="Arial"/>
          <w:sz w:val="24"/>
          <w:szCs w:val="24"/>
        </w:rPr>
        <w:t>Ozollo, J. (2026). Tecnología, poder y trabajo docente en los sistemas educativos provinciales. EDIUNC.</w:t>
      </w:r>
    </w:p>
    <w:p>
      <w:pPr>
        <w:pStyle w:val="Normal"/>
        <w:spacing w:lineRule="auto" w:line="276" w:before="0" w:after="160"/>
        <w:ind w:hanging="720" w:start="720"/>
        <w:jc w:val="both"/>
        <w:rPr/>
      </w:pPr>
      <w:r>
        <w:rPr>
          <w:rFonts w:eastAsia="Arial" w:cs="Arial"/>
          <w:sz w:val="24"/>
          <w:szCs w:val="24"/>
        </w:rPr>
        <w:t>Ozollo, J., Caram, C., y Rodríguez, M. (2023). Plataformas digitales y gestión educativa: tensiones entre eficiencia administrativa y autonomía pedagógica. Revista Iberoamericana de Educación, 91(2), 45–67. https://doi.org/10.35362/rie9125643</w:t>
      </w:r>
    </w:p>
    <w:p>
      <w:pPr>
        <w:pStyle w:val="Normal"/>
        <w:spacing w:lineRule="auto" w:line="276" w:before="0" w:after="160"/>
        <w:ind w:hanging="720" w:start="720"/>
        <w:jc w:val="both"/>
        <w:rPr/>
      </w:pPr>
      <w:r>
        <w:rPr>
          <w:rFonts w:eastAsia="Arial" w:cs="Arial"/>
          <w:sz w:val="24"/>
          <w:szCs w:val="24"/>
        </w:rPr>
        <w:t>Scolari, C. A. (2021). Las leyes de la interfaz: diseño, ecología, evolución, tecnología. Gedisa.</w:t>
      </w:r>
    </w:p>
    <w:sectPr>
      <w:type w:val="nextPage"/>
      <w:pgSz w:w="11906" w:h="16838"/>
      <w:pgMar w:left="17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LibreOffice/25.8.7.3$Windows_X86_64 LibreOffice_project/30742500f2d3eb4366ac312fa33d3dcabdb3eba5</Application>
  <AppVersion>15.0000</AppVersion>
  <Pages>10</Pages>
  <Words>3823</Words>
  <Characters>21704</Characters>
  <CharactersWithSpaces>25455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2026-06-26T11:09:31Z</dcterms:created>
  <dc:creator>Un-named</dc:creator>
  <dc:description/>
  <dc:language>en-US</dc:language>
  <cp:lastModifiedBy/>
  <dcterms:modified xsi:type="dcterms:W3CDTF">2026-06-26T14:46:32Z</dcterms:modified>
  <cp:revision>2</cp:revision>
  <dc:subject/>
  <dc:title/>
</cp:coreProperties>
</file>