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891B2"/>
          <w:sz w:val="32"/>
        </w:rPr>
        <w:t>MÓDULO 12: REGISTRO CONTABLE A TRAVÉS DE APLICACIONES INFORMÁTICAS</w:t>
      </w:r>
    </w:p>
    <w:p>
      <w:r>
        <w:t>**Diplomado en Contabilidad Financiera - Universidad Católica Santa Rosa (UCSAR)**</w:t>
      </w:r>
    </w:p>
    <w:p>
      <w:r>
        <w:t>**Facilitador: MSc. Frank Clemente**</w:t>
      </w:r>
    </w:p>
    <w:p>
      <w:r>
        <w:t>---</w:t>
      </w:r>
    </w:p>
    <w:p>
      <w:pPr>
        <w:pStyle w:val="Heading1"/>
      </w:pPr>
      <w:r>
        <w:rPr>
          <w:color w:val="0891B2"/>
        </w:rPr>
        <w:t>UNIDAD DIDÁCTICA 1. INTRODUCCIÓN DE DATOS CONTABLES Y ASIENTOS PREDEFINIDOS</w:t>
      </w:r>
    </w:p>
    <w:p>
      <w:pPr>
        <w:pStyle w:val="Heading2"/>
      </w:pPr>
      <w:r>
        <w:rPr>
          <w:color w:val="0F172A"/>
        </w:rPr>
        <w:t>1. Utilidades y Funciones de los Asientos Contables Digitales</w:t>
      </w:r>
    </w:p>
    <w:p>
      <w:r>
        <w:t>El registro contable en aplicaciones informáticas garantiza la partida doble en tiempo real, la validación de la equidad de montos (Debe = Haber) y la inalterabilidad cronológica del comprobante diario.</w:t>
      </w:r>
    </w:p>
    <w:p>
      <w:pPr>
        <w:pStyle w:val="Heading2"/>
      </w:pPr>
      <w:r>
        <w:rPr>
          <w:color w:val="0F172A"/>
        </w:rPr>
        <w:t>2. Cálculo Automático del IVA y Plantillas Predefinidas</w:t>
      </w:r>
    </w:p>
    <w:p>
      <w:r>
        <w:t>Las aplicaciones incorporan plantillas de asientos tipo que calculan y desglosan automáticamente:</w:t>
      </w:r>
    </w:p>
    <w:p>
      <w:pPr>
        <w:pStyle w:val="ListBullet"/>
      </w:pPr>
      <w:r>
        <w:t>**Débito Fiscal IVA (16%):** Al registrar una factura de venta, el sistema acredita la cuenta de Ingresos y la cuenta de Débito Fiscal IVA (`2.1.02.01.001`).</w:t>
      </w:r>
    </w:p>
    <w:p>
      <w:pPr>
        <w:pStyle w:val="ListBullet"/>
      </w:pPr>
      <w:r>
        <w:t>**Crédito Fiscal IVA (16%):** Al registrar una compra, se debita la cuenta de Inventario/Gastos y la cuenta de Crédito Fiscal IVA (`1.1.04.01.001`).</w:t>
      </w:r>
    </w:p>
    <w:p>
      <w:pPr>
        <w:pStyle w:val="ListBullet"/>
      </w:pPr>
      <w:r>
        <w:t>**Validación de R.I.F. y Correlativo:** Exigencia obligatoria de registrar el R.I.F. del tercero y el número de factura fiscal antes de guardar el asiento para garantizar la deducibilidad del tributo.</w:t>
      </w:r>
    </w:p>
    <w:p>
      <w:r>
        <w:t>---</w:t>
      </w:r>
    </w:p>
    <w:p>
      <w:pPr>
        <w:pStyle w:val="Heading1"/>
      </w:pPr>
      <w:r>
        <w:rPr>
          <w:color w:val="0891B2"/>
        </w:rPr>
        <w:t>UNIDAD DIDÁCTICA 2. GESTIÓN DE LIBROS CONTABLES Y FISCALES SENIAT</w:t>
      </w:r>
    </w:p>
    <w:p>
      <w:pPr>
        <w:pStyle w:val="Heading2"/>
      </w:pPr>
      <w:r>
        <w:rPr>
          <w:color w:val="0F172A"/>
        </w:rPr>
        <w:t>1. Emisión Digital del Libro Diario, Mayor y Balances</w:t>
      </w:r>
    </w:p>
    <w:p>
      <w:pPr>
        <w:pStyle w:val="ListBullet"/>
      </w:pPr>
      <w:r>
        <w:t>**Libro Diario Digital:** Registro cronológico de comprobantes con asignación de número correlativo inalterable (Código de Comercio Art. 36 al 44).</w:t>
      </w:r>
    </w:p>
    <w:p>
      <w:pPr>
        <w:pStyle w:val="ListBullet"/>
      </w:pPr>
      <w:r>
        <w:t>**Libro Mayor Digital:** Agrupación acumulada por cada código del árbol de cuentas a 5 niveles.</w:t>
      </w:r>
    </w:p>
    <w:p>
      <w:pPr>
        <w:pStyle w:val="ListBullet"/>
      </w:pPr>
      <w:r>
        <w:t>**Balance de Comprobación:** Verificación de sumas y saldos antes de los procesos de cierre.</w:t>
      </w:r>
    </w:p>
    <w:p>
      <w:pPr>
        <w:pStyle w:val="Heading2"/>
      </w:pPr>
      <w:r>
        <w:rPr>
          <w:color w:val="0F172A"/>
        </w:rPr>
        <w:t>2. Libros Fiscales SENIAT y Actualización Legal 2026 (Providencia 00084)</w:t>
      </w:r>
    </w:p>
    <w:p>
      <w:pPr>
        <w:pStyle w:val="ListBullet"/>
      </w:pPr>
      <w:r>
        <w:t>**Marco Legal Vigente (Providencia 00071 / 00102):** Con la emisión de la **Providencia Administrativa SNAT/2026/00084 (Gaceta Oficial N° 7.049 Extraordinario)**, la Administración Tributaria **DEROGÓ EXPRESAMENTE la Providencia SNAT/2024/000121**.</w:t>
      </w:r>
    </w:p>
    <w:p>
      <w:pPr>
        <w:pStyle w:val="ListBullet"/>
      </w:pPr>
      <w:r>
        <w:t>**Impacto para la Empresa y el Contador:** El estándar único legal para la emisión de Libros de Compras y Ventas de IVA y medios de facturación retorna exclusivamente al régimen de la **Providencia N° 00071**.</w:t>
      </w:r>
    </w:p>
    <w:p>
      <w:pPr>
        <w:pStyle w:val="ListBullet"/>
      </w:pPr>
      <w:r>
        <w:t>**Registro de Facturas Anuladas:** Las facturas anuladas DEBEN incluirse en el Libro de Ventas conservando la secuencia numérica correlativa, con monto en cero (`0,00 BS`), marcadas como "ANULADA" y conservando los ejemplares físicos/digitales soporte.</w:t>
      </w:r>
    </w:p>
    <w:p>
      <w:pPr>
        <w:pStyle w:val="ListBullet"/>
      </w:pPr>
      <w:r>
        <w:t>**Ajustes y Correcciones:** NUNCA se borran asientos pasados. Las diferencias de meses cerrados se ajustan mediante **Notas de Crédito o Débito Fiscal** con su propio correlativo en el período en curso.</w:t>
      </w:r>
    </w:p>
    <w:p>
      <w:r>
        <w:t>---</w:t>
      </w:r>
    </w:p>
    <w:p>
      <w:pPr>
        <w:pStyle w:val="Heading1"/>
      </w:pPr>
      <w:r>
        <w:rPr>
          <w:color w:val="0891B2"/>
        </w:rPr>
        <w:t>UNIDAD DIDÁCTICA 3. REGULARIZACIÓN Y LIQUIDACIÓN DEL IVA</w:t>
      </w:r>
    </w:p>
    <w:p>
      <w:pPr>
        <w:pStyle w:val="Heading2"/>
      </w:pPr>
      <w:r>
        <w:rPr>
          <w:color w:val="0F172A"/>
        </w:rPr>
        <w:t>1. Compensación Mensual entre Débito Fiscal y Crédito Fiscal SENIAT</w:t>
      </w:r>
    </w:p>
    <w:p>
      <w:r>
        <w:t>Al cierre de cada mes, el software calcula la compensación de los impuestos indirectos:</w:t>
      </w:r>
    </w:p>
    <w:p>
      <w:pPr>
        <w:pStyle w:val="ListBullet"/>
      </w:pPr>
      <w:r>
        <w:t xml:space="preserve">**Caso A (Débito Fiscal &gt; Crédito Fiscal):** Surge una cuota tributaria a pagar al SENIAT.  </w:t>
      </w:r>
    </w:p>
    <w:p>
      <w:r>
        <w:t>*Asiento:* Debitar Débito Fiscal (`2.1.02.01`), Acreditar Crédito Fiscal (`1.1.04.01`) y Acreditar IVA por Pagar SENIAT (`2.1.02.03`).</w:t>
      </w:r>
    </w:p>
    <w:p>
      <w:pPr>
        <w:pStyle w:val="ListBullet"/>
      </w:pPr>
      <w:r>
        <w:t xml:space="preserve">**Caso B (Crédito Fiscal &gt; Débito Fiscal):** Surge un Excedente de Crédito Fiscal para el mes siguiente.  </w:t>
      </w:r>
    </w:p>
    <w:p>
      <w:r>
        <w:t>*Asiento:* El excedente no utilizado se registra en la cuenta de Activo Corriente **Excedente de Crédito Fiscal IVA** para ser compensado legalmente en la declaración de la Forma 30 del mes subsiguiente.</w:t>
      </w:r>
    </w:p>
    <w:p>
      <w:r>
        <w:t>---</w:t>
      </w:r>
    </w:p>
    <w:p>
      <w:pPr>
        <w:pStyle w:val="Heading1"/>
      </w:pPr>
      <w:r>
        <w:rPr>
          <w:color w:val="0891B2"/>
        </w:rPr>
        <w:t>UNIDAD DIDÁCTICA 4. CIERRE FISCAL Y DEL EJERCICIO ECONÓMICO (ISLR 30%)</w:t>
      </w:r>
    </w:p>
    <w:p>
      <w:pPr>
        <w:pStyle w:val="Heading2"/>
      </w:pPr>
      <w:r>
        <w:rPr>
          <w:color w:val="0F172A"/>
        </w:rPr>
        <w:t>1. Pasos del Cierre Fiscal Automatizado</w:t>
      </w:r>
    </w:p>
    <w:p>
      <w:r>
        <w:t>1. **Cancelación de Ingresos:** Debitar las cuentas de Ingresos contra la cuenta transitoria **Ganancias y Pérdidas**.</w:t>
      </w:r>
    </w:p>
    <w:p>
      <w:r>
        <w:t>2. **Cancelación de Gastos:** Acreditar las cuentas de Gastos y Costos contra **Ganancias y Pérdidas**.</w:t>
      </w:r>
    </w:p>
    <w:p>
      <w:r>
        <w:t>3. **Cálculo del ISLR (30%):** Deducción de la provisión del Impuesto sobre la Renta sobre la utilidad contable ajustada.</w:t>
      </w:r>
    </w:p>
    <w:p>
      <w:r>
        <w:t>4. **Traspaso al Patrimonio:** El resultado neto resultante se traslada a la cuenta patrimonial **Utilidades Retenidas** o **Resultados Acumulados**.</w:t>
      </w:r>
    </w:p>
    <w:p>
      <w:r>
        <w:t>---</w:t>
      </w:r>
    </w:p>
    <w:p>
      <w:pPr>
        <w:pStyle w:val="Heading1"/>
      </w:pPr>
      <w:r>
        <w:rPr>
          <w:color w:val="0891B2"/>
        </w:rPr>
        <w:t>UNIDAD DIDÁCTICA 5. CUENTAS ANUALES ESTADOS FINANCIEROS (VEN-NIF)</w:t>
      </w:r>
    </w:p>
    <w:p>
      <w:pPr>
        <w:pStyle w:val="Heading2"/>
      </w:pPr>
      <w:r>
        <w:rPr>
          <w:color w:val="0F172A"/>
        </w:rPr>
        <w:t>1. Emisión Automatizada de Estados Financieros NIIF</w:t>
      </w:r>
    </w:p>
    <w:p>
      <w:pPr>
        <w:pStyle w:val="ListBullet"/>
      </w:pPr>
      <w:r>
        <w:t>**Estado de Situación Financiera (Balance General):** Clasificación en Activos, Pasivos y Patrimonio a la fecha de cierre.</w:t>
      </w:r>
    </w:p>
    <w:p>
      <w:pPr>
        <w:pStyle w:val="ListBullet"/>
      </w:pPr>
      <w:r>
        <w:t>**Estado de Resultados Integrales:** Medición del rendimiento económico del ejercicio.</w:t>
      </w:r>
    </w:p>
    <w:p>
      <w:pPr>
        <w:pStyle w:val="ListBullet"/>
      </w:pPr>
      <w:r>
        <w:t>**Validación de Cuadre:** Ecuación fundamental `Total Activo = Total Pasivo + Patrimonio`.</w:t>
      </w:r>
    </w:p>
    <w:p>
      <w:r>
        <w:t>---</w:t>
      </w:r>
    </w:p>
    <w:p>
      <w:pPr>
        <w:pStyle w:val="Heading1"/>
      </w:pPr>
      <w:r>
        <w:rPr>
          <w:color w:val="0891B2"/>
        </w:rPr>
        <w:t>UNIDAD DIDÁCTICA 6. RESPONSABILIDAD LEGAL, CONFIDENCIALIDAD Y ÉTICA PROFESIONAL</w:t>
      </w:r>
    </w:p>
    <w:p>
      <w:pPr>
        <w:pStyle w:val="Heading2"/>
      </w:pPr>
      <w:r>
        <w:rPr>
          <w:color w:val="0F172A"/>
        </w:rPr>
        <w:t>1. Responsabilidad Legal y Código de Comercio</w:t>
      </w:r>
    </w:p>
    <w:p>
      <w:pPr>
        <w:pStyle w:val="ListBullet"/>
      </w:pPr>
      <w:r>
        <w:t>**Conservación de Libros (Art. 44 del Código de Comercio):** Obligatoriedad de conservar todos los libros contables y comprobantes digitales durante al menos **10 años**.</w:t>
      </w:r>
    </w:p>
    <w:p>
      <w:pPr>
        <w:pStyle w:val="ListBullet"/>
      </w:pPr>
      <w:r>
        <w:t>**Código de Ética del Contador Público (FCCPV):** Responsabilidad civil, administrativa y penal por veracidad de cifras.</w:t>
      </w:r>
    </w:p>
    <w:p>
      <w:pPr>
        <w:pStyle w:val="Heading2"/>
      </w:pPr>
      <w:r>
        <w:rPr>
          <w:color w:val="0F172A"/>
        </w:rPr>
        <w:t>2. Confidencialidad y Segregación de Roles</w:t>
      </w:r>
    </w:p>
    <w:p>
      <w:pPr>
        <w:pStyle w:val="ListBullet"/>
      </w:pPr>
      <w:r>
        <w:t>**Segregación de Funciones en el Software:** Configuración de perfiles diferenciados (Facturación, Tesorería, Contador General y Auditor) para evitar fraudes y garantizar la integridad interna.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