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240" w:after="120"/>
      </w:pPr>
      <w:r>
        <w:rPr>
          <w:b/>
          <w:color w:val="10B981"/>
          <w:sz w:val="40"/>
        </w:rPr>
        <w:t>TRATADO ACADÉMICO: ANÁLISIS DE LA CONTABILIDAD Y DIAGNÓSTICO FINANCIERO</w:t>
      </w:r>
    </w:p>
    <w:p>
      <w:pPr>
        <w:pStyle w:val="Heading2"/>
        <w:keepNext/>
        <w:spacing w:before="240" w:after="120"/>
      </w:pPr>
      <w:r>
        <w:rPr>
          <w:b/>
          <w:color w:val="0F766E"/>
          <w:sz w:val="30"/>
        </w:rPr>
        <w:t>MÓDULO 10: ANÁLISIS DE LA CONTABILIDAD</w:t>
      </w:r>
    </w:p>
    <w:p>
      <w:pPr>
        <w:spacing w:after="120" w:line="276" w:lineRule="auto"/>
      </w:pPr>
      <w:r/>
      <w:r>
        <w:rPr>
          <w:b/>
        </w:rPr>
        <w:t>Elaborado por:</w:t>
      </w:r>
      <w:r>
        <w:t xml:space="preserve"> MSc. Frank Clemente</w:t>
      </w:r>
    </w:p>
    <w:p>
      <w:pPr>
        <w:spacing w:after="120" w:line="276" w:lineRule="auto"/>
      </w:pPr>
      <w:r/>
      <w:r>
        <w:rPr>
          <w:b/>
        </w:rPr>
        <w:t>Cátedra:</w:t>
      </w:r>
      <w:r>
        <w:t xml:space="preserve"> Contabilidad Financiera y Finanzas Corporativas</w:t>
      </w:r>
    </w:p>
    <w:p>
      <w:pPr>
        <w:spacing w:after="120" w:line="276" w:lineRule="auto"/>
      </w:pPr>
      <w:r/>
      <w:r>
        <w:rPr>
          <w:b/>
        </w:rPr>
        <w:t>Nivel:</w:t>
      </w:r>
      <w:r>
        <w:t xml:space="preserve"> Universitario / Posgrado (Diplomado en Contabilidad Financiera)</w:t>
      </w:r>
    </w:p>
    <w:p>
      <w:pPr>
        <w:spacing w:after="120" w:line="276" w:lineRule="auto"/>
      </w:pPr>
      <w:r/>
      <w:r>
        <w:rPr>
          <w:b/>
        </w:rPr>
        <w:t>Institución:</w:t>
      </w:r>
      <w:r>
        <w:t xml:space="preserve"> Universidad Católica Santa Rosa (UCSAR)</w:t>
      </w:r>
    </w:p>
    <w:p>
      <w:pPr>
        <w:spacing w:before="120" w:after="120"/>
        <w:pBdr>
          <w:bottom w:val="single" w:sz="6" w:space="1" w:color="CBD5E0"/>
        </w:pBdr>
      </w:pPr>
    </w:p>
    <w:p>
      <w:pPr>
        <w:pStyle w:val="Heading2"/>
        <w:keepNext/>
        <w:spacing w:before="240" w:after="120"/>
      </w:pPr>
      <w:r>
        <w:rPr>
          <w:b/>
          <w:color w:val="0F766E"/>
          <w:sz w:val="30"/>
        </w:rPr>
        <w:t>INTRODUCCIÓN Y FUNDAMENTACIÓN TEÓRICO-FINANCIERA</w:t>
      </w:r>
    </w:p>
    <w:p>
      <w:pPr>
        <w:spacing w:after="120" w:line="276" w:lineRule="auto"/>
      </w:pPr>
      <w:r>
        <w:t xml:space="preserve">El análisis contable y financiero representa el proceso crítico mediante el cual se transforman los datos cuantitativos reflejados en los Estados Financieros en </w:t>
      </w:r>
      <w:r>
        <w:rPr>
          <w:b/>
        </w:rPr>
        <w:t>información estratégica para la toma de decisiones gerenciales, la evaluación de la solvencia y la medición del valor económico creado</w:t>
      </w:r>
      <w:r>
        <w:t>.</w:t>
      </w:r>
    </w:p>
    <w:p>
      <w:pPr>
        <w:spacing w:after="120" w:line="276" w:lineRule="auto"/>
      </w:pPr>
      <w:r>
        <w:t>La literatura financiera moderna (</w:t>
      </w:r>
      <w:r>
        <w:rPr>
          <w:b/>
        </w:rPr>
        <w:t>Brealey, Myers &amp; Allen</w:t>
      </w:r>
      <w:r>
        <w:t xml:space="preserve">, </w:t>
      </w:r>
      <w:r>
        <w:rPr>
          <w:i/>
        </w:rPr>
        <w:t>Corporate Finance</w:t>
      </w:r>
      <w:r>
        <w:t xml:space="preserve">; </w:t>
      </w:r>
      <w:r>
        <w:rPr>
          <w:b/>
        </w:rPr>
        <w:t>Lawrence J. Gitman</w:t>
      </w:r>
      <w:r>
        <w:t xml:space="preserve">, </w:t>
      </w:r>
      <w:r>
        <w:rPr>
          <w:i/>
        </w:rPr>
        <w:t>Principios de Administración Financiera</w:t>
      </w:r>
      <w:r>
        <w:t xml:space="preserve">; y la doctrina europea de </w:t>
      </w:r>
      <w:r>
        <w:rPr>
          <w:b/>
        </w:rPr>
        <w:t>Urias Valiente</w:t>
      </w:r>
      <w:r>
        <w:t xml:space="preserve"> y </w:t>
      </w:r>
      <w:r>
        <w:rPr>
          <w:b/>
        </w:rPr>
        <w:t>Rivero Torre</w:t>
      </w:r>
      <w:r>
        <w:t>) establece que el diagnóstico financiero comprende tres dimensiones interrelacionadas e indisociables:</w:t>
      </w:r>
    </w:p>
    <w:p>
      <w:pPr>
        <w:pStyle w:val="ListNumber"/>
        <w:spacing w:after="60" w:before="0"/>
      </w:pPr>
      <w:r/>
      <w:r>
        <w:rPr>
          <w:b/>
        </w:rPr>
        <w:t>Análisis Patrimonial y de Estructura (Balance de Situación Financiera):</w:t>
      </w:r>
      <w:r>
        <w:t xml:space="preserve"> Evalúa el equilibrio financiero, la independencia patrimonial, la liquidez y la calidad de la masa de activos y pasivos.</w:t>
      </w:r>
    </w:p>
    <w:p>
      <w:pPr>
        <w:pStyle w:val="ListNumber"/>
        <w:spacing w:after="60" w:before="0"/>
      </w:pPr>
      <w:r/>
      <w:r>
        <w:rPr>
          <w:b/>
        </w:rPr>
        <w:t>Análisis Económico (Estado de Resultados Integral):</w:t>
      </w:r>
      <w:r>
        <w:t xml:space="preserve"> Examina la rentabilidad operativa, la eficiencia en la generación de ventas, la estructura de costos y el apalancamiento operativo (punto de equilibrio).</w:t>
      </w:r>
    </w:p>
    <w:p>
      <w:pPr>
        <w:pStyle w:val="ListNumber"/>
        <w:spacing w:after="60" w:before="0"/>
      </w:pPr>
      <w:r/>
      <w:r>
        <w:rPr>
          <w:b/>
        </w:rPr>
        <w:t>Análisis de Flujos y Rentabilidad (Estado de Flujos de Efectivo, ECPN, ROA/ROE y Modelo DuPont):</w:t>
      </w:r>
      <w:r>
        <w:t xml:space="preserve"> Determina la capacidad de generación real de caja limpia, la efectividad en la gestión de activos y el retorno final sobre el capital invertido por los accionistas.</w:t>
      </w:r>
    </w:p>
    <w:p>
      <w:pPr>
        <w:spacing w:after="120" w:line="276" w:lineRule="auto"/>
      </w:pPr>
      <w:r>
        <w:t xml:space="preserve">Bajo la normativa </w:t>
      </w:r>
      <w:r>
        <w:rPr>
          <w:b/>
        </w:rPr>
        <w:t>NIIF para las PYMES (Secciones 3, 4, 5, 6, 7 y 11)</w:t>
      </w:r>
      <w:r>
        <w:t xml:space="preserve"> y los principios </w:t>
      </w:r>
      <w:r>
        <w:rPr>
          <w:b/>
        </w:rPr>
        <w:t>VEN-NIF (BA VEN-NIF N° 8)</w:t>
      </w:r>
      <w:r>
        <w:t>, el análisis contable exige incorporar los efectos del entorno hiperinflacionario o bimonetario mediante la reexpresión de estados financieros y la evaluación en moneda funcional ($BS$ y $USD$).</w:t>
      </w:r>
    </w:p>
    <w:p>
      <w:pPr>
        <w:spacing w:before="120" w:after="120"/>
        <w:pBdr>
          <w:bottom w:val="single" w:sz="6" w:space="1" w:color="CBD5E0"/>
        </w:pBdr>
      </w:pPr>
    </w:p>
    <w:p>
      <w:pPr>
        <w:pStyle w:val="Heading1"/>
        <w:keepNext/>
        <w:spacing w:before="240" w:after="120"/>
      </w:pPr>
      <w:r>
        <w:rPr>
          <w:b/>
          <w:color w:val="10B981"/>
          <w:sz w:val="40"/>
        </w:rPr>
        <w:t>UNIDAD DIDÁCTICA 1. ANÁLISIS DEL BALANCE (PATRIMONIAL Y FINANCIERO)</w:t>
      </w:r>
    </w:p>
    <w:p>
      <w:pPr>
        <w:spacing w:after="120" w:line="276" w:lineRule="auto"/>
      </w:pPr>
      <w:r>
        <w:t>El análisis del Balance de Situación Financiera busca determinar si la entidad posee una estructura de recursos limpia, equilibrada y capaz de responder por sus compromisos exigibles en el corto, mediano y largo plazo.</w:t>
      </w:r>
    </w:p>
    <w:p>
      <w:pPr>
        <w:spacing w:before="120" w:after="120"/>
        <w:pBdr>
          <w:bottom w:val="single" w:sz="6" w:space="1" w:color="CBD5E0"/>
        </w:pBdr>
      </w:pPr>
    </w:p>
    <w:p>
      <w:pPr>
        <w:pStyle w:val="Heading2"/>
        <w:keepNext/>
        <w:spacing w:before="240" w:after="120"/>
      </w:pPr>
      <w:r>
        <w:rPr>
          <w:b/>
          <w:color w:val="0F766E"/>
          <w:sz w:val="30"/>
        </w:rPr>
        <w:t>1. CÁLCULO DE PORCENTAJES (ANÁLISIS VERTICAL Y HORIZONTAL)</w:t>
      </w:r>
    </w:p>
    <w:p>
      <w:pPr>
        <w:pStyle w:val="Heading3"/>
        <w:keepNext/>
        <w:spacing w:before="240" w:after="120"/>
      </w:pPr>
      <w:r>
        <w:rPr>
          <w:b/>
          <w:color w:val="1E293B"/>
          <w:sz w:val="24"/>
        </w:rPr>
        <w:t>1.1 Análisis Vertical (Estructural)</w:t>
      </w:r>
    </w:p>
    <w:p>
      <w:pPr>
        <w:spacing w:after="120" w:line="276" w:lineRule="auto"/>
      </w:pPr>
      <w:r>
        <w:t>El análisis vertical calcula la participación relativa porcentual de cada cuenta u homogéneo de masas patrimoniales respecto al total del Activo o del Pasivo + Patrimonio:</w:t>
      </w:r>
    </w:p>
    <w:p>
      <w:pPr>
        <w:spacing w:after="120" w:line="276" w:lineRule="auto"/>
      </w:pPr>
      <w:r>
        <w:t>$$\text{Porcentaje Vertical (Activo)} = \left( \frac{\text{Valor de la Cuenta}}{\text{Total Activos}} \right) \times 100$$</w:t>
      </w:r>
    </w:p>
    <w:p>
      <w:pPr>
        <w:spacing w:after="120" w:line="276" w:lineRule="auto"/>
      </w:pPr>
      <w:r>
        <w:t>$$\text{Porcentaje Vertical (Pasivo/Patrimonio)} = \left( \frac{\text{Valor de la Cuenta}}{\text{Total Pasivo y Patrimonio}} \right) \times 100$$</w:t>
      </w:r>
    </w:p>
    <w:p>
      <w:pPr>
        <w:pStyle w:val="Heading4"/>
        <w:keepNext/>
        <w:spacing w:before="240" w:after="120"/>
      </w:pPr>
      <w:r>
        <w:rPr>
          <w:b/>
          <w:color w:val="475569"/>
          <w:sz w:val="22"/>
        </w:rPr>
        <w:t>Criterio Doctrinario:</w:t>
      </w:r>
    </w:p>
    <w:p>
      <w:pPr>
        <w:pStyle w:val="ListBullet"/>
        <w:spacing w:after="60" w:before="0"/>
      </w:pPr>
      <w:r/>
      <w:r>
        <w:rPr>
          <w:b/>
        </w:rPr>
        <w:t>Activo Corriente / Activo Total:</w:t>
      </w:r>
      <w:r>
        <w:t xml:space="preserve"> Mide el grado de flexibilidad o liquidez del activo.</w:t>
      </w:r>
    </w:p>
    <w:p>
      <w:pPr>
        <w:pStyle w:val="ListBullet"/>
        <w:spacing w:after="60" w:before="0"/>
      </w:pPr>
      <w:r/>
      <w:r>
        <w:rPr>
          <w:b/>
        </w:rPr>
        <w:t>Pasivo Total / Activo Total:</w:t>
      </w:r>
      <w:r>
        <w:t xml:space="preserve"> Mide el nivel de endeudamiento global de la entidad.</w:t>
      </w:r>
    </w:p>
    <w:p>
      <w:pPr>
        <w:pStyle w:val="Heading3"/>
        <w:keepNext/>
        <w:spacing w:before="240" w:after="120"/>
      </w:pPr>
      <w:r>
        <w:rPr>
          <w:b/>
          <w:color w:val="1E293B"/>
          <w:sz w:val="24"/>
        </w:rPr>
        <w:t>1.2 Análisis Horizontal (Tendencial o Dinámico)</w:t>
      </w:r>
    </w:p>
    <w:p>
      <w:pPr>
        <w:spacing w:after="120" w:line="276" w:lineRule="auto"/>
      </w:pPr>
      <w:r>
        <w:t>Mide la variación absoluta ($\Delta$) y relativa ($\%$) de una cuenta o rubro financiero entre dos ejercicios económicos consecutivos ($t_0$ y $t_1$):</w:t>
      </w:r>
    </w:p>
    <w:p>
      <w:pPr>
        <w:spacing w:after="120" w:line="276" w:lineRule="auto"/>
      </w:pPr>
      <w:r>
        <w:t>$$\text{Variación Absoluta } (\Delta) = \text{Monto}_{t_1} - \text{Monto}_{t_0}$$</w:t>
      </w:r>
    </w:p>
    <w:p>
      <w:pPr>
        <w:spacing w:after="120" w:line="276" w:lineRule="auto"/>
      </w:pPr>
      <w:r>
        <w:t>$$\text{Variación Relativa } (\%) = \left( \frac{\text{Monto}_{t_1} - \text{Monto}_{t_0}}{\text{Monto}_{t_0}} \right) \times 100$$</w:t>
      </w:r>
    </w:p>
    <w:p>
      <w:pPr>
        <w:spacing w:before="120" w:after="120"/>
        <w:pBdr>
          <w:bottom w:val="single" w:sz="6" w:space="1" w:color="CBD5E0"/>
        </w:pBdr>
      </w:pPr>
    </w:p>
    <w:p>
      <w:pPr>
        <w:pStyle w:val="Heading2"/>
        <w:keepNext/>
        <w:spacing w:before="240" w:after="120"/>
      </w:pPr>
      <w:r>
        <w:rPr>
          <w:b/>
          <w:color w:val="0F766E"/>
          <w:sz w:val="30"/>
        </w:rPr>
        <w:t>2. REPRESENTACIÓN GRÁFICA DEL BALANCE</w:t>
      </w:r>
    </w:p>
    <w:p>
      <w:pPr>
        <w:spacing w:after="120" w:line="276" w:lineRule="auto"/>
      </w:pPr>
      <w:r>
        <w:t xml:space="preserve">La representación visual de las masas patrimoniales permite constatar de forma inmediata si existe el </w:t>
      </w:r>
      <w:r>
        <w:rPr>
          <w:b/>
        </w:rPr>
        <w:t>Principio de Fondo de Maniobra Positivo</w:t>
      </w:r>
      <w:r>
        <w:t xml:space="preserve"> (Capital de Trabajo Neto):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40" w:before="40"/>
            </w:pPr>
            <w:r>
              <w:rPr>
                <w:rFonts w:ascii="Consolas" w:hAnsi="Consolas"/>
                <w:color w:val="1E293B"/>
                <w:sz w:val="19"/>
              </w:rPr>
              <w:t>========================================================================</w:t>
              <w:br/>
              <w:t xml:space="preserve">                      MASAS PATRIMONIALES DEL BALANCE</w:t>
              <w:br/>
              <w:t>========================================================================</w:t>
              <w:br/>
              <w:t>[  ACTIVO NO CORRIENTE (ANC)  ] | [  PATRIMONIO NETO (PN)            ]</w:t>
              <w:br/>
              <w:t>[  Propiedades, Planta y Eq.  ] | [  Capital Social, Reservas, Res. ]</w:t>
              <w:br/>
              <w:t>--------------------------------+---------------------------------------</w:t>
              <w:br/>
              <w:t>[  ACTIVO CORRIENTE (AC)      ] | [  PASIVO NO CORRIENTE (PNC)       ]</w:t>
              <w:br/>
              <w:t>[  Inventarios, Cuentas x Cobr] | [  Deudas Bancarias Largo Plazo   ]</w:t>
              <w:br/>
              <w:t>[  Efectivo y Equivalentes    ] +---------------------------------------</w:t>
              <w:br/>
              <w:t xml:space="preserve">                                | [  PASIVO CORRIENTE (PC)          ]</w:t>
              <w:br/>
              <w:t xml:space="preserve">                                | [  Proveedores, Impuestos, Moras  ]</w:t>
              <w:br/>
              <w:t>========================================================================</w:t>
              <w:br/>
              <w:t>* FONDO DE MANIOBRA (FM) = AC - PC &gt; 0 (Zona de Seguridad Financiera)</w:t>
            </w:r>
          </w:p>
        </w:tc>
      </w:tr>
    </w:tbl>
    <w:p>
      <w:pPr>
        <w:spacing w:after="120"/>
      </w:pPr>
    </w:p>
    <w:p>
      <w:pPr>
        <w:spacing w:before="120" w:after="120"/>
        <w:pBdr>
          <w:bottom w:val="single" w:sz="6" w:space="1" w:color="CBD5E0"/>
        </w:pBdr>
      </w:pPr>
    </w:p>
    <w:p>
      <w:pPr>
        <w:pStyle w:val="Heading2"/>
        <w:keepNext/>
        <w:spacing w:before="240" w:after="120"/>
      </w:pPr>
      <w:r>
        <w:rPr>
          <w:b/>
          <w:color w:val="0F766E"/>
          <w:sz w:val="30"/>
        </w:rPr>
        <w:t>3. ESTADO DE ORIGEN Y APLICACIÓN DE FONDOS (EOAF)</w:t>
      </w:r>
    </w:p>
    <w:p>
      <w:pPr>
        <w:spacing w:after="120" w:line="276" w:lineRule="auto"/>
      </w:pPr>
      <w:r>
        <w:t xml:space="preserve">El </w:t>
      </w:r>
      <w:r>
        <w:rPr>
          <w:b/>
        </w:rPr>
        <w:t>EOAF</w:t>
      </w:r>
      <w:r>
        <w:t xml:space="preserve"> (o Cuadro de Financiación) explica los cambios en la posición financiera de la entidad mediante la distinción entre </w:t>
      </w:r>
      <w:r>
        <w:rPr>
          <w:b/>
        </w:rPr>
        <w:t>Orígenes de Fondos (Fuentes)</w:t>
      </w:r>
      <w:r>
        <w:t xml:space="preserve"> y </w:t>
      </w:r>
      <w:r>
        <w:rPr>
          <w:b/>
        </w:rPr>
        <w:t>Aplicaciones de Fondos (Usos)</w:t>
      </w:r>
      <w:r>
        <w:t>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F766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b/>
                <w:color w:val="FFFFFF"/>
              </w:rPr>
              <w:t>Naturaleza del Movimiento</w:t>
            </w:r>
          </w:p>
        </w:tc>
        <w:tc>
          <w:tcPr>
            <w:tcW w:type="dxa" w:w="3120"/>
            <w:shd w:fill="0F766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b/>
                <w:color w:val="FFFFFF"/>
              </w:rPr>
              <w:t>Aumento de la Cuenta ($+$)</w:t>
            </w:r>
          </w:p>
        </w:tc>
        <w:tc>
          <w:tcPr>
            <w:tcW w:type="dxa" w:w="3120"/>
            <w:shd w:fill="0F766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b/>
                <w:color w:val="FFFFFF"/>
              </w:rPr>
              <w:t>Disminución de la Cuenta ($-$)</w:t>
            </w:r>
          </w:p>
        </w:tc>
      </w:tr>
      <w:tr>
        <w:tc>
          <w:tcPr>
            <w:tcW w:type="dxa" w:w="3120"/>
            <w:shd w:fill="F0FDF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sz w:val="19"/>
              </w:rPr>
              <w:t>Cuenta de Activo</w:t>
            </w:r>
          </w:p>
        </w:tc>
        <w:tc>
          <w:tcPr>
            <w:tcW w:type="dxa" w:w="3120"/>
            <w:shd w:fill="F0FDF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sz w:val="19"/>
              </w:rPr>
              <w:t>APLICACIÓN / USO (Compra de activo, acumulación de inventario)</w:t>
            </w:r>
          </w:p>
        </w:tc>
        <w:tc>
          <w:tcPr>
            <w:tcW w:type="dxa" w:w="3120"/>
            <w:shd w:fill="F0FDF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sz w:val="19"/>
              </w:rPr>
              <w:t>ORIGEN / FUENTE (Venta de activo, cobro a clientes)</w:t>
            </w:r>
          </w:p>
        </w:tc>
      </w:tr>
      <w:tr>
        <w:tc>
          <w:tcPr>
            <w:tcW w:type="dxa" w:w="3120"/>
            <w:shd w:fill="E6F4E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sz w:val="19"/>
              </w:rPr>
              <w:t>Cuenta de Pasivo</w:t>
            </w:r>
          </w:p>
        </w:tc>
        <w:tc>
          <w:tcPr>
            <w:tcW w:type="dxa" w:w="3120"/>
            <w:shd w:fill="E6F4E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sz w:val="19"/>
              </w:rPr>
              <w:t>ORIGEN / FUENTE (Obtención de crédito, emisión de deuda)</w:t>
            </w:r>
          </w:p>
        </w:tc>
        <w:tc>
          <w:tcPr>
            <w:tcW w:type="dxa" w:w="3120"/>
            <w:shd w:fill="E6F4E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sz w:val="19"/>
              </w:rPr>
              <w:t>APLICACIÓN / USO (Pago de deudas, amortización)</w:t>
            </w:r>
          </w:p>
        </w:tc>
      </w:tr>
      <w:tr>
        <w:tc>
          <w:tcPr>
            <w:tcW w:type="dxa" w:w="3120"/>
            <w:shd w:fill="F0FDF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sz w:val="19"/>
              </w:rPr>
              <w:t>Cuenta de Patrimonio</w:t>
            </w:r>
          </w:p>
        </w:tc>
        <w:tc>
          <w:tcPr>
            <w:tcW w:type="dxa" w:w="3120"/>
            <w:shd w:fill="F0FDF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sz w:val="19"/>
              </w:rPr>
              <w:t>ORIGEN / FUENTE (Aporte de capital, utilidades retenidas)</w:t>
            </w:r>
          </w:p>
        </w:tc>
        <w:tc>
          <w:tcPr>
            <w:tcW w:type="dxa" w:w="3120"/>
            <w:shd w:fill="F0FDF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sz w:val="19"/>
              </w:rPr>
              <w:t>APLICACIÓN / USO (Pago de dividendos, pérdidas)</w:t>
            </w:r>
          </w:p>
        </w:tc>
      </w:tr>
    </w:tbl>
    <w:p>
      <w:pPr>
        <w:spacing w:after="120"/>
      </w:pPr>
    </w:p>
    <w:p>
      <w:pPr>
        <w:spacing w:before="120" w:after="120"/>
        <w:pBdr>
          <w:bottom w:val="single" w:sz="6" w:space="1" w:color="CBD5E0"/>
        </w:pBdr>
      </w:pPr>
    </w:p>
    <w:p>
      <w:pPr>
        <w:pStyle w:val="Heading2"/>
        <w:keepNext/>
        <w:spacing w:before="240" w:after="120"/>
      </w:pPr>
      <w:r>
        <w:rPr>
          <w:b/>
          <w:color w:val="0F766E"/>
          <w:sz w:val="30"/>
        </w:rPr>
        <w:t>4. ESTADO DE FLUJOS DE EFECTIVO (EFE - SECCIÓN 7 NIIF PYME)</w:t>
      </w:r>
    </w:p>
    <w:p>
      <w:pPr>
        <w:spacing w:after="120" w:line="276" w:lineRule="auto"/>
      </w:pPr>
      <w:r>
        <w:t xml:space="preserve">El Estado de Flujos de Efectivo clasifica todas las entradas y salidas reales de efectivo y equivalentes en </w:t>
      </w:r>
      <w:r>
        <w:rPr>
          <w:b/>
        </w:rPr>
        <w:t>tres actividades operativas fundamentales</w:t>
      </w:r>
      <w: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40" w:before="40"/>
            </w:pPr>
            <w:r>
              <w:rPr>
                <w:rFonts w:ascii="Consolas" w:hAnsi="Consolas"/>
                <w:color w:val="1E293B"/>
                <w:sz w:val="19"/>
              </w:rPr>
              <w:t>graph TD</w:t>
              <w:br/>
              <w:t xml:space="preserve">    EFE[Estado de Flujos de Efectivo - Sección 7] --&gt; O[1. Actividades de Operación]</w:t>
              <w:br/>
              <w:t xml:space="preserve">    EFE --&gt; I[2. Actividades de Inversión]</w:t>
              <w:br/>
              <w:t xml:space="preserve">    EFE --&gt; F[3. Actividades de Financiamiento]</w:t>
              <w:br/>
              <w:br/>
              <w:t xml:space="preserve">    O --&gt; O1[Cobros a clientes, pagos a proveedores, sueldos e impuestos]</w:t>
              <w:br/>
              <w:t xml:space="preserve">    I --&gt; I1[Compra/venta de Propiedades, Planta y Equipo, e Intangibles]</w:t>
              <w:br/>
              <w:t xml:space="preserve">    F --&gt; F1[Préstamos bancarios, aportes de socios, pago de dividendos]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240" w:after="120"/>
      </w:pPr>
      <w:r>
        <w:rPr>
          <w:b/>
          <w:color w:val="1E293B"/>
          <w:sz w:val="24"/>
        </w:rPr>
        <w:t>Métodos de Presentación del Flujo de Operación:</w:t>
      </w:r>
    </w:p>
    <w:p>
      <w:pPr>
        <w:pStyle w:val="ListNumber"/>
        <w:spacing w:after="60" w:before="0"/>
      </w:pPr>
      <w:r/>
      <w:r>
        <w:rPr>
          <w:b/>
        </w:rPr>
        <w:t>Método Directo:</w:t>
      </w:r>
      <w:r>
        <w:t xml:space="preserve"> Presenta las clases principales de cobros y pagos brutos en efectivo (Cobros a clientes $-$ Pagos a proveedores y personal).</w:t>
      </w:r>
    </w:p>
    <w:p>
      <w:pPr>
        <w:pStyle w:val="ListNumber"/>
        <w:spacing w:after="60" w:before="0"/>
      </w:pPr>
      <w:r/>
      <w:r>
        <w:rPr>
          <w:b/>
        </w:rPr>
        <w:t>Método Indirecto:</w:t>
      </w:r>
      <w:r>
        <w:t xml:space="preserve"> Parte de la Utilidad/Pérdida Neta del ejercicio y la ajusta por:</w:t>
      </w:r>
    </w:p>
    <w:p>
      <w:pPr>
        <w:pStyle w:val="ListBullet"/>
        <w:spacing w:after="60" w:before="0"/>
      </w:pPr>
      <w:r>
        <w:t>Partidas no monetarias (Depreciaciones, Amortizaciones, Deterioro).</w:t>
      </w:r>
    </w:p>
    <w:p>
      <w:pPr>
        <w:pStyle w:val="ListBullet"/>
        <w:spacing w:after="60" w:before="0"/>
      </w:pPr>
      <w:r>
        <w:t>Variaciones en el Capital de Trabajo ($\Delta$ Cuentas por Cobrar, $\Delta$ Inventarios, $\Delta$ Cuentas por Pagar).</w:t>
      </w:r>
    </w:p>
    <w:p>
      <w:pPr>
        <w:spacing w:before="120" w:after="120"/>
        <w:pBdr>
          <w:bottom w:val="single" w:sz="6" w:space="1" w:color="CBD5E0"/>
        </w:pBdr>
      </w:pPr>
    </w:p>
    <w:p>
      <w:pPr>
        <w:pStyle w:val="Heading2"/>
        <w:keepNext/>
        <w:spacing w:before="240" w:after="120"/>
      </w:pPr>
      <w:r>
        <w:rPr>
          <w:b/>
          <w:color w:val="0F766E"/>
          <w:sz w:val="30"/>
        </w:rPr>
        <w:t>5. ESTADO DE CAMBIOS EN EL PATRIMONIO NETO (ECPN - SECCIÓN 6 NIIF PYME)</w:t>
      </w:r>
    </w:p>
    <w:p>
      <w:pPr>
        <w:spacing w:after="120" w:line="276" w:lineRule="auto"/>
      </w:pPr>
      <w:r>
        <w:t>El ECPN muestra las variaciones cualitativas y cuantitativas experimentadas en la estructura patrimonial de los propietarios durante el periodo financiero:</w:t>
      </w:r>
    </w:p>
    <w:p>
      <w:pPr>
        <w:pStyle w:val="ListBullet"/>
        <w:spacing w:after="60" w:before="0"/>
      </w:pPr>
      <w:r>
        <w:t>Aportes de capital o aumentos por capitalización de reservas.</w:t>
      </w:r>
    </w:p>
    <w:p>
      <w:pPr>
        <w:pStyle w:val="ListBullet"/>
        <w:spacing w:after="60" w:before="0"/>
      </w:pPr>
      <w:r>
        <w:t>Distribución de dividendos o decretos de reservas legales.</w:t>
      </w:r>
    </w:p>
    <w:p>
      <w:pPr>
        <w:pStyle w:val="ListBullet"/>
        <w:spacing w:after="60" w:before="0"/>
      </w:pPr>
      <w:r>
        <w:t>Ganancias o Pérdidas del ejercicio.</w:t>
      </w:r>
    </w:p>
    <w:p>
      <w:pPr>
        <w:pStyle w:val="ListBullet"/>
        <w:spacing w:after="60" w:before="0"/>
      </w:pPr>
      <w:r>
        <w:t>Ganancias y Pérdidas reconocidas en el Otro Resultado Integral (ORI).</w:t>
      </w:r>
    </w:p>
    <w:p>
      <w:pPr>
        <w:spacing w:before="120" w:after="120"/>
        <w:pBdr>
          <w:bottom w:val="single" w:sz="6" w:space="1" w:color="CBD5E0"/>
        </w:pBdr>
      </w:pPr>
    </w:p>
    <w:p>
      <w:pPr>
        <w:pStyle w:val="Heading2"/>
        <w:keepNext/>
        <w:spacing w:before="240" w:after="120"/>
      </w:pPr>
      <w:r>
        <w:rPr>
          <w:b/>
          <w:color w:val="0F766E"/>
          <w:sz w:val="30"/>
        </w:rPr>
        <w:t>6. ESTUDIO DE RATIOS FINANCIEROS</w:t>
      </w:r>
    </w:p>
    <w:p>
      <w:pPr>
        <w:spacing w:after="120" w:line="276" w:lineRule="auto"/>
      </w:pPr>
      <w:r>
        <w:t>Los ratios son coeficientes matemáticos que relacionan dos partidas de los estados financieros para evaluar la salud patrimonial de la entidad.</w:t>
      </w:r>
    </w:p>
    <w:p>
      <w:pPr>
        <w:pStyle w:val="Heading3"/>
        <w:keepNext/>
        <w:spacing w:before="240" w:after="120"/>
      </w:pPr>
      <w:r>
        <w:rPr>
          <w:b/>
          <w:color w:val="1E293B"/>
          <w:sz w:val="24"/>
        </w:rPr>
        <w:t>A) Ratios de Liquidez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F766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b/>
                <w:color w:val="FFFFFF"/>
              </w:rPr>
              <w:t>Ratio</w:t>
            </w:r>
          </w:p>
        </w:tc>
        <w:tc>
          <w:tcPr>
            <w:tcW w:type="dxa" w:w="3120"/>
            <w:shd w:fill="0F766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b/>
                <w:color w:val="FFFFFF"/>
              </w:rPr>
              <w:t>Fórmula de Cálculo</w:t>
            </w:r>
          </w:p>
        </w:tc>
        <w:tc>
          <w:tcPr>
            <w:tcW w:type="dxa" w:w="3120"/>
            <w:shd w:fill="0F766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b/>
                <w:color w:val="FFFFFF"/>
              </w:rPr>
              <w:t>Valor Ideal / Interpretación</w:t>
            </w:r>
          </w:p>
        </w:tc>
      </w:tr>
      <w:tr>
        <w:tc>
          <w:tcPr>
            <w:tcW w:type="dxa" w:w="3120"/>
            <w:shd w:fill="F0FDF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sz w:val="19"/>
              </w:rPr>
              <w:t>Razón Corriente (Liquidez General)</w:t>
            </w:r>
          </w:p>
        </w:tc>
        <w:tc>
          <w:tcPr>
            <w:tcW w:type="dxa" w:w="3120"/>
            <w:shd w:fill="F0FDF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sz w:val="19"/>
              </w:rPr>
              <w:t>$RC = \frac{\text{Activo Corriente}}{\text{Pasivo Corriente}}$</w:t>
            </w:r>
          </w:p>
        </w:tc>
        <w:tc>
          <w:tcPr>
            <w:tcW w:type="dxa" w:w="3120"/>
            <w:shd w:fill="F0FDF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sz w:val="19"/>
              </w:rPr>
              <w:t>$1,50 - 2,50$: Indica que la empresa posee entre $1,50$ y $2,50\text{ BS}$ de activo circulante por cada $1,00\text{ BS}$ de deuda exigible a corto plazo.</w:t>
            </w:r>
          </w:p>
        </w:tc>
      </w:tr>
      <w:tr>
        <w:tc>
          <w:tcPr>
            <w:tcW w:type="dxa" w:w="3120"/>
            <w:shd w:fill="E6F4E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sz w:val="19"/>
              </w:rPr>
              <w:t>Prueba Ácida (Liquidez Severa)</w:t>
            </w:r>
          </w:p>
        </w:tc>
        <w:tc>
          <w:tcPr>
            <w:tcW w:type="dxa" w:w="3120"/>
            <w:shd w:fill="E6F4E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sz w:val="19"/>
              </w:rPr>
              <w:t>$PA = \frac{\text{Activo Corriente} - \text{Inventarios}}{\text{Pasivo Corriente}}$</w:t>
            </w:r>
          </w:p>
        </w:tc>
        <w:tc>
          <w:tcPr>
            <w:tcW w:type="dxa" w:w="3120"/>
            <w:shd w:fill="E6F4E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sz w:val="19"/>
              </w:rPr>
              <w:t>$1,00 - 1,50$: Mide la capacidad de respuesta inmediata sin depender de la venta tardía de inventarios.</w:t>
            </w:r>
          </w:p>
        </w:tc>
      </w:tr>
      <w:tr>
        <w:tc>
          <w:tcPr>
            <w:tcW w:type="dxa" w:w="3120"/>
            <w:shd w:fill="F0FDF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sz w:val="19"/>
              </w:rPr>
              <w:t>Liquidez Inmediata (Efectivo)</w:t>
            </w:r>
          </w:p>
        </w:tc>
        <w:tc>
          <w:tcPr>
            <w:tcW w:type="dxa" w:w="3120"/>
            <w:shd w:fill="F0FDF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sz w:val="19"/>
              </w:rPr>
              <w:t>$LI = \frac{\text{Efectivo y Equivalentes}}{\text{Pasivo Corriente}}$</w:t>
            </w:r>
          </w:p>
        </w:tc>
        <w:tc>
          <w:tcPr>
            <w:tcW w:type="dxa" w:w="3120"/>
            <w:shd w:fill="F0FDF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sz w:val="19"/>
              </w:rPr>
              <w:t>$0,30 - 0,50$: Mide la tesorería instantánea disponible en bancos y caja.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240" w:after="120"/>
      </w:pPr>
      <w:r>
        <w:rPr>
          <w:b/>
          <w:color w:val="1E293B"/>
          <w:sz w:val="24"/>
        </w:rPr>
        <w:t>B) Ratios de Endeudamiento y Solvencia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F766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b/>
                <w:color w:val="FFFFFF"/>
              </w:rPr>
              <w:t>Ratio</w:t>
            </w:r>
          </w:p>
        </w:tc>
        <w:tc>
          <w:tcPr>
            <w:tcW w:type="dxa" w:w="3120"/>
            <w:shd w:fill="0F766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b/>
                <w:color w:val="FFFFFF"/>
              </w:rPr>
              <w:t>Fórmula de Cálculo</w:t>
            </w:r>
          </w:p>
        </w:tc>
        <w:tc>
          <w:tcPr>
            <w:tcW w:type="dxa" w:w="3120"/>
            <w:shd w:fill="0F766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b/>
                <w:color w:val="FFFFFF"/>
              </w:rPr>
              <w:t>Interpretación Doctrinal</w:t>
            </w:r>
          </w:p>
        </w:tc>
      </w:tr>
      <w:tr>
        <w:tc>
          <w:tcPr>
            <w:tcW w:type="dxa" w:w="3120"/>
            <w:shd w:fill="F0FDF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sz w:val="19"/>
              </w:rPr>
              <w:t>Ratio de Endeudamiento Total</w:t>
            </w:r>
          </w:p>
        </w:tc>
        <w:tc>
          <w:tcPr>
            <w:tcW w:type="dxa" w:w="3120"/>
            <w:shd w:fill="F0FDF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sz w:val="19"/>
              </w:rPr>
              <w:t>$ET = \frac{\text{Pasivo Total}}{\text{Activo Total}}$</w:t>
            </w:r>
          </w:p>
        </w:tc>
        <w:tc>
          <w:tcPr>
            <w:tcW w:type="dxa" w:w="3120"/>
            <w:shd w:fill="F0FDF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sz w:val="19"/>
              </w:rPr>
              <w:t>Mide el porcentaje de los activos financiados por acreedores externos. Ideal $\le 60\%$.</w:t>
            </w:r>
          </w:p>
        </w:tc>
      </w:tr>
      <w:tr>
        <w:tc>
          <w:tcPr>
            <w:tcW w:type="dxa" w:w="3120"/>
            <w:shd w:fill="E6F4E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sz w:val="19"/>
              </w:rPr>
              <w:t>Apalancamiento Financiero</w:t>
            </w:r>
          </w:p>
        </w:tc>
        <w:tc>
          <w:tcPr>
            <w:tcW w:type="dxa" w:w="3120"/>
            <w:shd w:fill="E6F4E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sz w:val="19"/>
              </w:rPr>
              <w:t>$AP = \frac{\text{Pasivo Total}}{\text{Patrimonio Neto}}$</w:t>
            </w:r>
          </w:p>
        </w:tc>
        <w:tc>
          <w:tcPr>
            <w:tcW w:type="dxa" w:w="3120"/>
            <w:shd w:fill="E6F4E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sz w:val="19"/>
              </w:rPr>
              <w:t>Mide la proporción de capital ajeno frente al capital propio de los socios.</w:t>
            </w:r>
          </w:p>
        </w:tc>
      </w:tr>
      <w:tr>
        <w:tc>
          <w:tcPr>
            <w:tcW w:type="dxa" w:w="3120"/>
            <w:shd w:fill="F0FDF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sz w:val="19"/>
              </w:rPr>
              <w:t>Autonomía Financiera</w:t>
            </w:r>
          </w:p>
        </w:tc>
        <w:tc>
          <w:tcPr>
            <w:tcW w:type="dxa" w:w="3120"/>
            <w:shd w:fill="F0FDF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sz w:val="19"/>
              </w:rPr>
              <w:t>$AF = \frac{\text{Patrimonio Neto}}{\text{Activo Total}}$</w:t>
            </w:r>
          </w:p>
        </w:tc>
        <w:tc>
          <w:tcPr>
            <w:tcW w:type="dxa" w:w="3120"/>
            <w:shd w:fill="F0FDF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sz w:val="19"/>
              </w:rPr>
              <w:t>Indica qué porcentaje de los activos pertenece realmente a los accionistas.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240" w:after="120"/>
      </w:pPr>
      <w:r>
        <w:rPr>
          <w:b/>
          <w:color w:val="1E293B"/>
          <w:sz w:val="24"/>
        </w:rPr>
        <w:t>C) Ratios de Cobro, Pago y Rotación</w:t>
      </w:r>
    </w:p>
    <w:p>
      <w:pPr>
        <w:pStyle w:val="ListNumber"/>
        <w:spacing w:after="60" w:before="0"/>
      </w:pPr>
      <w:r/>
      <w:r>
        <w:rPr>
          <w:b/>
        </w:rPr>
        <w:t>Rotación de Inventarios:</w:t>
      </w:r>
      <w:r/>
    </w:p>
    <w:p>
      <w:pPr>
        <w:spacing w:after="120" w:line="276" w:lineRule="auto"/>
      </w:pPr>
      <w:r>
        <w:t>$$\text{Rotación de Inventarios} = \frac{\text{Costo de Ventas}}{\text{Inventario Promedio}}$$</w:t>
      </w:r>
    </w:p>
    <w:p>
      <w:pPr>
        <w:pStyle w:val="ListNumber"/>
        <w:spacing w:after="60" w:before="0"/>
      </w:pPr>
      <w:r/>
      <w:r>
        <w:rPr>
          <w:b/>
        </w:rPr>
        <w:t>Días Promedio de Inventario (DPI):</w:t>
      </w:r>
      <w:r/>
    </w:p>
    <w:p>
      <w:pPr>
        <w:spacing w:after="120" w:line="276" w:lineRule="auto"/>
      </w:pPr>
      <w:r>
        <w:t>$$\text{DPI} = \frac{365}{\text{Rotación de Inventarios}}$$</w:t>
      </w:r>
    </w:p>
    <w:p>
      <w:pPr>
        <w:pStyle w:val="ListNumber"/>
        <w:spacing w:after="60" w:before="0"/>
      </w:pPr>
      <w:r/>
      <w:r>
        <w:rPr>
          <w:b/>
        </w:rPr>
        <w:t>Período Medio de Cobro (PMC / Días de Venta en la Calle):</w:t>
      </w:r>
      <w:r/>
    </w:p>
    <w:p>
      <w:pPr>
        <w:spacing w:after="120" w:line="276" w:lineRule="auto"/>
      </w:pPr>
      <w:r>
        <w:t>$$\text{PMC} = \left( \frac{\text{Cuentas por Cobrar Promedio}}{\text{Ventas a Crédito Totales}} \right) \times 365$$</w:t>
      </w:r>
    </w:p>
    <w:p>
      <w:pPr>
        <w:pStyle w:val="ListNumber"/>
        <w:spacing w:after="60" w:before="0"/>
      </w:pPr>
      <w:r/>
      <w:r>
        <w:rPr>
          <w:b/>
        </w:rPr>
        <w:t>Período Medio de Pago (PMP / Días de Crédito con Proveedores):</w:t>
      </w:r>
      <w:r/>
    </w:p>
    <w:p>
      <w:pPr>
        <w:spacing w:after="120" w:line="276" w:lineRule="auto"/>
      </w:pPr>
      <w:r>
        <w:t>$$\text{PMP} = \left( \frac{\text{Cuentas por Pagar Promedio}}{\text{Compras a Crédito Totales}} \right) \times 365$$</w:t>
      </w:r>
    </w:p>
    <w:p>
      <w:pPr>
        <w:pStyle w:val="ListBullet"/>
        <w:spacing w:after="60" w:before="0"/>
      </w:pPr>
      <w:r/>
      <w:r>
        <w:rPr>
          <w:b/>
        </w:rPr>
        <w:t>Regla de Oro de Gestión Financiera:</w:t>
      </w:r>
      <w:r>
        <w:t xml:space="preserve"> El periodo de cobro debe ser menor al periodo de pago ($\text{PMC} &lt; \text{PMP}$) para evitar déficit de tesorería y necesidad de financiamiento costoso.</w:t>
      </w:r>
    </w:p>
    <w:p>
      <w:pPr>
        <w:spacing w:before="120" w:after="120"/>
        <w:pBdr>
          <w:bottom w:val="single" w:sz="6" w:space="1" w:color="CBD5E0"/>
        </w:pBdr>
      </w:pPr>
    </w:p>
    <w:p>
      <w:pPr>
        <w:pStyle w:val="Heading1"/>
        <w:keepNext/>
        <w:spacing w:before="240" w:after="120"/>
      </w:pPr>
      <w:r>
        <w:rPr>
          <w:b/>
          <w:color w:val="10B981"/>
          <w:sz w:val="40"/>
        </w:rPr>
        <w:t>UNIDAD DIDÁCTICA 2. ANÁLISIS ECONÓMICO (ESTADO DE RESULTADOS)</w:t>
      </w:r>
    </w:p>
    <w:p>
      <w:pPr>
        <w:spacing w:after="120" w:line="276" w:lineRule="auto"/>
      </w:pPr>
      <w:r>
        <w:t>El análisis económico evalúa la estructura de ingresos, costos y gastos de la entidad para determinar la eficiencia operativa de las ventas y la capacidad de generar margen operativo puro.</w:t>
      </w:r>
    </w:p>
    <w:p>
      <w:pPr>
        <w:spacing w:before="120" w:after="120"/>
        <w:pBdr>
          <w:bottom w:val="single" w:sz="6" w:space="1" w:color="CBD5E0"/>
        </w:pBdr>
      </w:pPr>
    </w:p>
    <w:p>
      <w:pPr>
        <w:pStyle w:val="Heading2"/>
        <w:keepNext/>
        <w:spacing w:before="240" w:after="120"/>
      </w:pPr>
      <w:r>
        <w:rPr>
          <w:b/>
          <w:color w:val="0F766E"/>
          <w:sz w:val="30"/>
        </w:rPr>
        <w:t>1. CÁLCULO DE PORCENTAJES Y ESTRUCTURA DE LA CUENTA DE RESULTADOS</w:t>
      </w:r>
    </w:p>
    <w:p>
      <w:pPr>
        <w:spacing w:after="120" w:line="276" w:lineRule="auto"/>
      </w:pPr>
      <w:r>
        <w:t xml:space="preserve">El análisis vertical en la cuenta de resultados toma como base de referencia ($100\%$) a los </w:t>
      </w:r>
      <w:r>
        <w:rPr>
          <w:b/>
        </w:rPr>
        <w:t>Ingresos Netos por Ventas</w:t>
      </w:r>
      <w: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40" w:before="40"/>
            </w:pPr>
            <w:r>
              <w:rPr>
                <w:rFonts w:ascii="Consolas" w:hAnsi="Consolas"/>
                <w:color w:val="1E293B"/>
                <w:sz w:val="19"/>
              </w:rPr>
              <w:t>========================================================================</w:t>
              <w:br/>
              <w:t xml:space="preserve">          ESTRUCTURA PORCENTUAL DEL ESTADO DE RESULTADOS</w:t>
              <w:br/>
              <w:t>========================================================================</w:t>
              <w:br/>
              <w:t>(+) Ventas Netas Totales ........................... 100,0 %  (Base)</w:t>
              <w:br/>
              <w:t>(-) Costo de Ventas ................................ ( 60,0 %)</w:t>
              <w:br/>
              <w:t>------------------------------------------------------------------------</w:t>
              <w:br/>
              <w:t>(=) MARGEN BRUTO EN VENTAS .........................   40,0 %</w:t>
              <w:br/>
              <w:t>(-) Gastos Operativos (Ventas y Administración) .... ( 24,0 %)</w:t>
              <w:br/>
              <w:t>------------------------------------------------------------------------</w:t>
              <w:br/>
              <w:t>(=) UTILIDAD OPERATIVA (EBIT) ......................   16,0 %</w:t>
              <w:br/>
              <w:t>(-) Gastos Financieros (Intereses de Deuda) ........ (  4,0 %)</w:t>
              <w:br/>
              <w:t>------------------------------------------------------------------------</w:t>
              <w:br/>
              <w:t>(=) UTILIDAD ANTES DE IMPUESTOS (EBT) ..............   12,0 %</w:t>
              <w:br/>
              <w:t>(-) Impuesto Sobre la Renta (ISLR) ................. (  3,6 %)</w:t>
              <w:br/>
              <w:t>------------------------------------------------------------------------</w:t>
              <w:br/>
              <w:t>(=) UTILIDAD NETA DEL EJERCICIO ....................    8,4 %</w:t>
              <w:br/>
              <w:t>========================================================================</w:t>
            </w:r>
          </w:p>
        </w:tc>
      </w:tr>
    </w:tbl>
    <w:p>
      <w:pPr>
        <w:spacing w:after="120"/>
      </w:pPr>
    </w:p>
    <w:p>
      <w:pPr>
        <w:spacing w:before="120" w:after="120"/>
        <w:pBdr>
          <w:bottom w:val="single" w:sz="6" w:space="1" w:color="CBD5E0"/>
        </w:pBdr>
      </w:pPr>
    </w:p>
    <w:p>
      <w:pPr>
        <w:pStyle w:val="Heading2"/>
        <w:keepNext/>
        <w:spacing w:before="240" w:after="120"/>
      </w:pPr>
      <w:r>
        <w:rPr>
          <w:b/>
          <w:color w:val="0F766E"/>
          <w:sz w:val="30"/>
        </w:rPr>
        <w:t>2. REPRESENTACIÓN GRÁFICA DEL RESULTADO (CASCADA DE RESULTADOS)</w:t>
      </w:r>
    </w:p>
    <w:p>
      <w:pPr>
        <w:spacing w:after="120" w:line="276" w:lineRule="auto"/>
      </w:pPr>
      <w:r>
        <w:t>La representación en gráfico de cascada visualiza cómo cada nivel de costo absorbe el ingreso monetario generado hasta llegar a la Utilidad Neta del Ejercicio.</w:t>
      </w:r>
    </w:p>
    <w:p>
      <w:pPr>
        <w:spacing w:before="120" w:after="120"/>
        <w:pBdr>
          <w:bottom w:val="single" w:sz="6" w:space="1" w:color="CBD5E0"/>
        </w:pBdr>
      </w:pPr>
    </w:p>
    <w:p>
      <w:pPr>
        <w:pStyle w:val="Heading2"/>
        <w:keepNext/>
        <w:spacing w:before="240" w:after="120"/>
      </w:pPr>
      <w:r>
        <w:rPr>
          <w:b/>
          <w:color w:val="0F766E"/>
          <w:sz w:val="30"/>
        </w:rPr>
        <w:t>3. TASA DE EXPANSIÓN DE LAS VENTAS (CAGR Y AJUSTE POR INFLACIÓN)</w:t>
      </w:r>
    </w:p>
    <w:p>
      <w:pPr>
        <w:spacing w:after="120" w:line="276" w:lineRule="auto"/>
      </w:pPr>
      <w:r>
        <w:t>Mide la tasa de crecimiento nominal e interanual de los ingresos operacionales entre dos o más periodos:</w:t>
      </w:r>
    </w:p>
    <w:p>
      <w:pPr>
        <w:spacing w:after="120" w:line="276" w:lineRule="auto"/>
      </w:pPr>
      <w:r>
        <w:t>$$\text{Tasa de Crecimiento de Ventas } (\%) = \left( \frac{\text{Ventas}_{t_1} - \text{Ventas}_{t_0}}{\text{Ventas}_{t_0}} \right) \times 100$$</w:t>
      </w:r>
    </w:p>
    <w:p>
      <w:pPr>
        <w:pStyle w:val="Heading3"/>
        <w:keepNext/>
        <w:spacing w:before="240" w:after="120"/>
      </w:pPr>
      <w:r>
        <w:rPr>
          <w:b/>
          <w:color w:val="1E293B"/>
          <w:sz w:val="24"/>
        </w:rPr>
        <w:t>Ajuste por Inflación (VEN-NIF / BA VEN-NIF N° 8):</w:t>
      </w:r>
    </w:p>
    <w:p>
      <w:pPr>
        <w:spacing w:after="120" w:line="276" w:lineRule="auto"/>
      </w:pPr>
      <w:r>
        <w:t xml:space="preserve">En entornos con inflación significante, el crecimiento nominal debe deflactarse utilizando el </w:t>
      </w:r>
      <w:r>
        <w:rPr>
          <w:b/>
        </w:rPr>
        <w:t>Índice Nacional de Precios al Consumidor (INPC)</w:t>
      </w:r>
      <w:r>
        <w:t xml:space="preserve"> para determinar el Crecimiento Real en Volumen de Ventas:</w:t>
      </w:r>
    </w:p>
    <w:p>
      <w:pPr>
        <w:spacing w:after="120" w:line="276" w:lineRule="auto"/>
      </w:pPr>
      <w:r>
        <w:t>$$\text{Ventas Reales (Deflactadas)} = \frac{\text{Ventas Nominales}}{\text{INPC}_{t_1} / \text{INPC}_{t_0}}$$</w:t>
      </w:r>
    </w:p>
    <w:p>
      <w:pPr>
        <w:spacing w:before="120" w:after="120"/>
        <w:pBdr>
          <w:bottom w:val="single" w:sz="6" w:space="1" w:color="CBD5E0"/>
        </w:pBdr>
      </w:pPr>
    </w:p>
    <w:p>
      <w:pPr>
        <w:pStyle w:val="Heading2"/>
        <w:keepNext/>
        <w:spacing w:before="240" w:after="120"/>
      </w:pPr>
      <w:r>
        <w:rPr>
          <w:b/>
          <w:color w:val="0F766E"/>
          <w:sz w:val="30"/>
        </w:rPr>
        <w:t>4. DESTINO DE CADA 100 UNIDADES MONETARIAS (UM) VENDIDAS</w:t>
      </w:r>
    </w:p>
    <w:p>
      <w:pPr>
        <w:spacing w:after="120" w:line="276" w:lineRule="auto"/>
      </w:pPr>
      <w:r>
        <w:t>Es una herramienta docente de análisis horizontal que desglosa cómo se distribuyen exactamente cada 100 Bolívares o Dólares facturados:</w:t>
      </w:r>
    </w:p>
    <w:p>
      <w:pPr>
        <w:spacing w:after="120" w:line="276" w:lineRule="auto"/>
      </w:pPr>
      <w:r>
        <w:t>$$\text{UM al Costo de Ventas} = \% \text{ Costo de Ventas} \times 100$$</w:t>
      </w:r>
    </w:p>
    <w:p>
      <w:pPr>
        <w:spacing w:after="120" w:line="276" w:lineRule="auto"/>
      </w:pPr>
      <w:r>
        <w:t>$$\text{UM a Gastos Operativos} = \% \text{ Gastos Operativos} \times 100$$</w:t>
      </w:r>
    </w:p>
    <w:p>
      <w:pPr>
        <w:spacing w:after="120" w:line="276" w:lineRule="auto"/>
      </w:pPr>
      <w:r>
        <w:t>$$\text{UM a Gastos Financieros e Impuestos} = \% \text{ Financieros e ISLR} \times 100$$</w:t>
      </w:r>
    </w:p>
    <w:p>
      <w:pPr>
        <w:spacing w:after="120" w:line="276" w:lineRule="auto"/>
      </w:pPr>
      <w:r>
        <w:t>$$\text{UM a Utilidad Neta} = \% \text{ Utilidad Neta} \times 100$$</w:t>
      </w:r>
    </w:p>
    <w:p>
      <w:pPr>
        <w:spacing w:before="120" w:after="120"/>
        <w:pBdr>
          <w:bottom w:val="single" w:sz="6" w:space="1" w:color="CBD5E0"/>
        </w:pBdr>
      </w:pPr>
    </w:p>
    <w:p>
      <w:pPr>
        <w:pStyle w:val="Heading2"/>
        <w:keepNext/>
        <w:spacing w:before="240" w:after="120"/>
      </w:pPr>
      <w:r>
        <w:rPr>
          <w:b/>
          <w:color w:val="0F766E"/>
          <w:sz w:val="30"/>
        </w:rPr>
        <w:t>5. ANÁLISIS DE GASTOS Y APALANCAMIENTO OPERATIVO</w:t>
      </w:r>
    </w:p>
    <w:p>
      <w:pPr>
        <w:pStyle w:val="Heading3"/>
        <w:keepNext/>
        <w:spacing w:before="240" w:after="120"/>
      </w:pPr>
      <w:r>
        <w:rPr>
          <w:b/>
          <w:color w:val="1E293B"/>
          <w:sz w:val="24"/>
        </w:rPr>
        <w:t>5.1 Clasificación de Gastos:</w:t>
      </w:r>
    </w:p>
    <w:p>
      <w:pPr>
        <w:pStyle w:val="ListBullet"/>
        <w:spacing w:after="60" w:before="0"/>
      </w:pPr>
      <w:r/>
      <w:r>
        <w:rPr>
          <w:b/>
        </w:rPr>
        <w:t>Costos/Gastos Fijos (CFT):</w:t>
      </w:r>
      <w:r>
        <w:t xml:space="preserve"> Aquellos que permanecen constantes independientemente del volumen de producción o ventas (alquileres, sueldos administrativos, seguros).</w:t>
      </w:r>
    </w:p>
    <w:p>
      <w:pPr>
        <w:pStyle w:val="ListBullet"/>
        <w:spacing w:after="60" w:before="0"/>
      </w:pPr>
      <w:r/>
      <w:r>
        <w:rPr>
          <w:b/>
        </w:rPr>
        <w:t>Costos/Gastos Variables (CVT):</w:t>
      </w:r>
      <w:r>
        <w:t xml:space="preserve"> Aquellos que varían en proporción directa con el nivel de producción y ventas (materia prima, comisiones de ventas, embalajes).</w:t>
      </w:r>
    </w:p>
    <w:p>
      <w:pPr>
        <w:pStyle w:val="Heading3"/>
        <w:keepNext/>
        <w:spacing w:before="240" w:after="120"/>
      </w:pPr>
      <w:r>
        <w:rPr>
          <w:b/>
          <w:color w:val="1E293B"/>
          <w:sz w:val="24"/>
        </w:rPr>
        <w:t>5.2 Grado de Apalancamiento Operativo (GAO):</w:t>
      </w:r>
    </w:p>
    <w:p>
      <w:pPr>
        <w:spacing w:after="120" w:line="276" w:lineRule="auto"/>
      </w:pPr>
      <w:r>
        <w:t>Mide el impacto porcentual en la utilidad operativa (EBIT) ante un cambio en las ventas:</w:t>
      </w:r>
    </w:p>
    <w:p>
      <w:pPr>
        <w:spacing w:after="120" w:line="276" w:lineRule="auto"/>
      </w:pPr>
      <w:r>
        <w:t>$$\text{GAO} = \frac{\text{Porcentaje Cambio en EBIT}}{\text{Porcentaje Cambio en Ventas}} = \frac{Q \times (\text{PVU} - \text{CVU})}{Q \times (\text{PVU} - \text{CVU}) - \text{CFT}}$$</w:t>
      </w:r>
    </w:p>
    <w:p>
      <w:pPr>
        <w:spacing w:before="120" w:after="120"/>
        <w:pBdr>
          <w:bottom w:val="single" w:sz="6" w:space="1" w:color="CBD5E0"/>
        </w:pBdr>
      </w:pPr>
    </w:p>
    <w:p>
      <w:pPr>
        <w:pStyle w:val="Heading2"/>
        <w:keepNext/>
        <w:spacing w:before="240" w:after="120"/>
      </w:pPr>
      <w:r>
        <w:rPr>
          <w:b/>
          <w:color w:val="0F766E"/>
          <w:sz w:val="30"/>
        </w:rPr>
        <w:t>6. PUNTO DE EQUILIBRIO OPERATIVO (BREAK-EVEN POINT)</w:t>
      </w:r>
    </w:p>
    <w:p>
      <w:pPr>
        <w:spacing w:after="120" w:line="276" w:lineRule="auto"/>
      </w:pPr>
      <w:r>
        <w:t>El Punto de Equilibrio es el nivel de ventas (en unidades físicas o bolívares) en el cual los ingresos totales igualan exactamente a los costos totales, obteniendo una Utilidad Operativa igual a cero ($\text{EBIT} = 0$).</w:t>
      </w:r>
    </w:p>
    <w:p>
      <w:pPr>
        <w:pStyle w:val="Heading3"/>
        <w:keepNext/>
        <w:spacing w:before="240" w:after="120"/>
      </w:pPr>
      <w:r>
        <w:rPr>
          <w:b/>
          <w:color w:val="1E293B"/>
          <w:sz w:val="24"/>
        </w:rPr>
        <w:t>6.1 Margen de Contribución Unitario (MCU):</w:t>
      </w:r>
    </w:p>
    <w:p>
      <w:pPr>
        <w:spacing w:after="120" w:line="276" w:lineRule="auto"/>
      </w:pPr>
      <w:r>
        <w:t>$$\text{MCU} = \text{PVU} - \text{CVU}$$</w:t>
      </w:r>
    </w:p>
    <w:p>
      <w:pPr>
        <w:pStyle w:val="Heading3"/>
        <w:keepNext/>
        <w:spacing w:before="240" w:after="120"/>
      </w:pPr>
      <w:r>
        <w:rPr>
          <w:b/>
          <w:color w:val="1E293B"/>
          <w:sz w:val="24"/>
        </w:rPr>
        <w:t>6.2 Ratio de Margen de Contribución ($m$):</w:t>
      </w:r>
    </w:p>
    <w:p>
      <w:pPr>
        <w:spacing w:after="120" w:line="276" w:lineRule="auto"/>
      </w:pPr>
      <w:r>
        <w:t>$$m = \frac{\text{MCU}}{\text{PVU}} = \frac{\text{PVU} - \text{CVU}}{\text{PVU}}$$</w:t>
      </w:r>
    </w:p>
    <w:p>
      <w:pPr>
        <w:pStyle w:val="Heading3"/>
        <w:keepNext/>
        <w:spacing w:before="240" w:after="120"/>
      </w:pPr>
      <w:r>
        <w:rPr>
          <w:b/>
          <w:color w:val="1E293B"/>
          <w:sz w:val="24"/>
        </w:rPr>
        <w:t>6.3 Fórmulas del Punto de Equilibrio:</w:t>
      </w:r>
    </w:p>
    <w:p>
      <w:pPr>
        <w:pStyle w:val="ListNumber"/>
        <w:spacing w:after="60" w:before="0"/>
      </w:pPr>
      <w:r/>
      <w:r>
        <w:rPr>
          <w:b/>
        </w:rPr>
        <w:t>Punto de Equilibrio en Unidades físicas ($Q_e$):</w:t>
      </w:r>
      <w:r/>
    </w:p>
    <w:p>
      <w:pPr>
        <w:spacing w:after="120" w:line="276" w:lineRule="auto"/>
      </w:pPr>
      <w:r>
        <w:t>$$Q_e = \frac{\text{Costos Fijos Totales (CFT)}}{\text{Margen de Contribución Unitario (MCU)}} = \frac{\text{CFT}}{\text{PVU} - \text{CVU}}$$</w:t>
      </w:r>
    </w:p>
    <w:p>
      <w:pPr>
        <w:pStyle w:val="ListNumber"/>
        <w:spacing w:after="60" w:before="0"/>
      </w:pPr>
      <w:r/>
      <w:r>
        <w:rPr>
          <w:b/>
        </w:rPr>
        <w:t>Punto de Equilibrio en Monto Monetario ($V_e$):</w:t>
      </w:r>
      <w:r/>
    </w:p>
    <w:p>
      <w:pPr>
        <w:spacing w:after="120" w:line="276" w:lineRule="auto"/>
      </w:pPr>
      <w:r>
        <w:t>$$V_e = \frac{\text{Costos Fijos Totales (CFT)}}{m} = Q_e \times \text{PVU}$$</w:t>
      </w:r>
    </w:p>
    <w:p>
      <w:pPr>
        <w:spacing w:before="120" w:after="120"/>
        <w:pBdr>
          <w:bottom w:val="single" w:sz="6" w:space="1" w:color="CBD5E0"/>
        </w:pBdr>
      </w:pPr>
    </w:p>
    <w:p>
      <w:pPr>
        <w:pStyle w:val="Heading1"/>
        <w:keepNext/>
        <w:spacing w:before="240" w:after="120"/>
      </w:pPr>
      <w:r>
        <w:rPr>
          <w:b/>
          <w:color w:val="10B981"/>
          <w:sz w:val="40"/>
        </w:rPr>
        <w:t>UNIDAD DIDÁCTICA 3. ANÁLISIS DE LA RENTABILIDAD (ROA, ROE Y DUPONT)</w:t>
      </w:r>
    </w:p>
    <w:p>
      <w:pPr>
        <w:spacing w:after="120" w:line="276" w:lineRule="auto"/>
      </w:pPr>
      <w:r>
        <w:t>La rentabilidad mide la capacidad de la entidad para generar beneficios en relación con los recursos invertidos.</w:t>
      </w:r>
    </w:p>
    <w:p>
      <w:pPr>
        <w:spacing w:before="120" w:after="120"/>
        <w:pBdr>
          <w:bottom w:val="single" w:sz="6" w:space="1" w:color="CBD5E0"/>
        </w:pBdr>
      </w:pPr>
    </w:p>
    <w:p>
      <w:pPr>
        <w:pStyle w:val="Heading2"/>
        <w:keepNext/>
        <w:spacing w:before="240" w:after="120"/>
      </w:pPr>
      <w:r>
        <w:rPr>
          <w:b/>
          <w:color w:val="0F766E"/>
          <w:sz w:val="30"/>
        </w:rPr>
        <w:t>1. RENDIMIENTO DEL ACTIVO (ROA - RETURN ON ASSETS)</w:t>
      </w:r>
    </w:p>
    <w:p>
      <w:pPr>
        <w:pStyle w:val="Heading3"/>
        <w:keepNext/>
        <w:spacing w:before="240" w:after="120"/>
      </w:pPr>
      <w:r>
        <w:rPr>
          <w:b/>
          <w:color w:val="1E293B"/>
          <w:sz w:val="24"/>
        </w:rPr>
        <w:t>1.1 Definición e Interpretación</w:t>
      </w:r>
    </w:p>
    <w:p>
      <w:pPr>
        <w:spacing w:after="120" w:line="276" w:lineRule="auto"/>
      </w:pPr>
      <w:r>
        <w:t xml:space="preserve">El </w:t>
      </w:r>
      <w:r>
        <w:rPr>
          <w:b/>
        </w:rPr>
        <w:t>ROA</w:t>
      </w:r>
      <w:r>
        <w:t xml:space="preserve"> (también conocido como </w:t>
      </w:r>
      <w:r>
        <w:rPr>
          <w:i/>
        </w:rPr>
        <w:t>Rentabilidad Económica</w:t>
      </w:r>
      <w:r>
        <w:t xml:space="preserve"> o </w:t>
      </w:r>
      <w:r>
        <w:rPr>
          <w:i/>
        </w:rPr>
        <w:t>ROI</w:t>
      </w:r>
      <w:r>
        <w:t xml:space="preserve">) mide la eficiencia operativa con la que la gerencia utiliza el </w:t>
      </w:r>
      <w:r>
        <w:rPr>
          <w:b/>
        </w:rPr>
        <w:t>conjunto total de activos</w:t>
      </w:r>
      <w:r>
        <w:t xml:space="preserve"> de la empresa para generar utilidades, independientemente de cómo hayan sido financiados (deuda o capital propio).</w:t>
      </w:r>
    </w:p>
    <w:p>
      <w:pPr>
        <w:spacing w:after="120" w:line="276" w:lineRule="auto"/>
      </w:pPr>
      <w:r>
        <w:t>$$\text{ROA} = \frac{\text{Utilidad Neta}}{\text{Activo Total Promedio}}$$</w:t>
      </w:r>
    </w:p>
    <w:p>
      <w:pPr>
        <w:spacing w:after="120" w:line="276" w:lineRule="auto"/>
      </w:pPr>
      <w:r/>
      <w:r>
        <w:rPr>
          <w:i/>
        </w:rPr>
        <w:t>(En análisis puro operativo se utiliza el EBIT en el numerador: $\text{ROA Operativo} = \frac{\text{EBIT}}{\text{Activo Total}}$).</w:t>
      </w:r>
      <w:r/>
    </w:p>
    <w:p>
      <w:pPr>
        <w:spacing w:before="120" w:after="120"/>
        <w:pBdr>
          <w:bottom w:val="single" w:sz="6" w:space="1" w:color="CBD5E0"/>
        </w:pBdr>
      </w:pPr>
    </w:p>
    <w:p>
      <w:pPr>
        <w:pStyle w:val="Heading2"/>
        <w:keepNext/>
        <w:spacing w:before="240" w:after="120"/>
      </w:pPr>
      <w:r>
        <w:rPr>
          <w:b/>
          <w:color w:val="0F766E"/>
          <w:sz w:val="30"/>
        </w:rPr>
        <w:t>2. RENTABILIDAD DEL PATRIMONIO NETO (ROE - RETURN ON EQUITY)</w:t>
      </w:r>
    </w:p>
    <w:p>
      <w:pPr>
        <w:pStyle w:val="Heading3"/>
        <w:keepNext/>
        <w:spacing w:before="240" w:after="120"/>
      </w:pPr>
      <w:r>
        <w:rPr>
          <w:b/>
          <w:color w:val="1E293B"/>
          <w:sz w:val="24"/>
        </w:rPr>
        <w:t>2.1 Definición e Interpretación</w:t>
      </w:r>
    </w:p>
    <w:p>
      <w:pPr>
        <w:spacing w:after="120" w:line="276" w:lineRule="auto"/>
      </w:pPr>
      <w:r>
        <w:t xml:space="preserve">El </w:t>
      </w:r>
      <w:r>
        <w:rPr>
          <w:b/>
        </w:rPr>
        <w:t>ROE</w:t>
      </w:r>
      <w:r>
        <w:t xml:space="preserve"> (o </w:t>
      </w:r>
      <w:r>
        <w:rPr>
          <w:i/>
        </w:rPr>
        <w:t>Rentabilidad Financiera</w:t>
      </w:r>
      <w:r>
        <w:t xml:space="preserve">) mide la tasa de retorno o ganancia neta generada exclusivamente sobre la </w:t>
      </w:r>
      <w:r>
        <w:rPr>
          <w:b/>
        </w:rPr>
        <w:t>inversión de los accionistas o propietarios</w:t>
      </w:r>
      <w:r>
        <w:t xml:space="preserve"> de la entidad.</w:t>
      </w:r>
    </w:p>
    <w:p>
      <w:pPr>
        <w:spacing w:after="120" w:line="276" w:lineRule="auto"/>
      </w:pPr>
      <w:r>
        <w:t>$$\text{ROE} = \frac{\text{Utilidad Neta}}{\text{Patrimonio Neto Promedio}}$$</w:t>
      </w:r>
    </w:p>
    <w:p>
      <w:pPr>
        <w:spacing w:before="120" w:after="120"/>
        <w:pBdr>
          <w:bottom w:val="single" w:sz="6" w:space="1" w:color="CBD5E0"/>
        </w:pBdr>
      </w:pPr>
    </w:p>
    <w:p>
      <w:pPr>
        <w:pStyle w:val="Heading2"/>
        <w:keepNext/>
        <w:spacing w:before="240" w:after="120"/>
      </w:pPr>
      <w:r>
        <w:rPr>
          <w:b/>
          <w:color w:val="0F766E"/>
          <w:sz w:val="30"/>
        </w:rPr>
        <w:t>3. DESCOMPOSICIÓN DEL MODELO DUPONT</w:t>
      </w:r>
    </w:p>
    <w:p>
      <w:pPr>
        <w:spacing w:after="120" w:line="276" w:lineRule="auto"/>
      </w:pPr>
      <w:r>
        <w:t xml:space="preserve">El Modelo DuPont descompone el ROE en tres palancas financieras fundamentales: </w:t>
      </w:r>
      <w:r>
        <w:rPr>
          <w:b/>
        </w:rPr>
        <w:t>Margen de Utilidad, Rotación de Activos y Apalancamiento Financiero</w:t>
      </w:r>
      <w:r>
        <w:t>:</w:t>
      </w:r>
    </w:p>
    <w:p>
      <w:pPr>
        <w:spacing w:after="120" w:line="276" w:lineRule="auto"/>
      </w:pPr>
      <w:r>
        <w:t>$$\text{ROE} = \left( \frac{\text{Utilidad Neta}}{\text{Ventas}} \right) \times \left( \frac{\text{Ventas}}{\text{Activo Total}} \right) \times \left( \frac{\text{Activo Total}}{\text{Patrimonio Neto}} \right)$$</w:t>
      </w:r>
    </w:p>
    <w:p>
      <w:pPr>
        <w:spacing w:after="120" w:line="276" w:lineRule="auto"/>
      </w:pPr>
      <w:r>
        <w:t>$$\mathbf{\text{ROE}} = \mathbf{\text{Margen Neta}} \times \mathbf{\text{Rotación de Activos}} \times \mathbf{\text{Multiplicador del Capital (Apalancamiento)}}$$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40" w:before="40"/>
            </w:pPr>
            <w:r>
              <w:rPr>
                <w:rFonts w:ascii="Consolas" w:hAnsi="Consolas"/>
                <w:color w:val="1E293B"/>
                <w:sz w:val="19"/>
              </w:rPr>
              <w:t>graph LR</w:t>
              <w:br/>
              <w:t xml:space="preserve">    ROE[ROE: Rentabilidad del Patrimonio] --&gt; M[Margen Neta: Utilidad / Ventas]</w:t>
              <w:br/>
              <w:t xml:space="preserve">    ROE --&gt; R[Rotación Activos: Ventas / Activo Total]</w:t>
              <w:br/>
              <w:t xml:space="preserve">    ROE --&gt; A[Multiplicador Capital: Activo Total / Patrimonio]</w:t>
              <w:br/>
              <w:br/>
              <w:t xml:space="preserve">    M --&gt; Ef1[Eficiencia Operativa en Costos]</w:t>
              <w:br/>
              <w:t xml:space="preserve">    R --&gt; Ef2[Eficiencia en la Gestión de Activos]</w:t>
              <w:br/>
              <w:t xml:space="preserve">    A --&gt; Ef3[Estructura y Gestión del Apalancamiento]</w:t>
            </w:r>
          </w:p>
        </w:tc>
      </w:tr>
    </w:tbl>
    <w:p>
      <w:pPr>
        <w:spacing w:after="120"/>
      </w:pPr>
    </w:p>
    <w:p>
      <w:pPr>
        <w:spacing w:before="120" w:after="120"/>
        <w:pBdr>
          <w:bottom w:val="single" w:sz="6" w:space="1" w:color="CBD5E0"/>
        </w:pBdr>
      </w:pPr>
    </w:p>
    <w:p>
      <w:pPr>
        <w:pStyle w:val="Heading1"/>
        <w:keepNext/>
        <w:spacing w:before="240" w:after="120"/>
      </w:pPr>
      <w:r>
        <w:rPr>
          <w:b/>
          <w:color w:val="10B981"/>
          <w:sz w:val="40"/>
        </w:rPr>
        <w:t>CUADRO SÍNTESIS COMPARATIVO DE RATIOS E INDICADORES CLAVE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766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b/>
                <w:color w:val="FFFFFF"/>
              </w:rPr>
              <w:t>Indicador Financiero</w:t>
            </w:r>
          </w:p>
        </w:tc>
        <w:tc>
          <w:tcPr>
            <w:tcW w:type="dxa" w:w="2340"/>
            <w:shd w:fill="0F766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b/>
                <w:color w:val="FFFFFF"/>
              </w:rPr>
              <w:t>Fórmula</w:t>
            </w:r>
          </w:p>
        </w:tc>
        <w:tc>
          <w:tcPr>
            <w:tcW w:type="dxa" w:w="2340"/>
            <w:shd w:fill="0F766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b/>
                <w:color w:val="FFFFFF"/>
              </w:rPr>
              <w:t>Valor Objetivo</w:t>
            </w:r>
          </w:p>
        </w:tc>
        <w:tc>
          <w:tcPr>
            <w:tcW w:type="dxa" w:w="2340"/>
            <w:shd w:fill="0F766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b/>
                <w:color w:val="FFFFFF"/>
              </w:rPr>
              <w:t>Dimensión de Evaluación</w:t>
            </w:r>
          </w:p>
        </w:tc>
      </w:tr>
      <w:tr>
        <w:tc>
          <w:tcPr>
            <w:tcW w:type="dxa" w:w="2340"/>
            <w:shd w:fill="F0FDF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sz w:val="19"/>
              </w:rPr>
              <w:t>Razón Corriente</w:t>
            </w:r>
          </w:p>
        </w:tc>
        <w:tc>
          <w:tcPr>
            <w:tcW w:type="dxa" w:w="2340"/>
            <w:shd w:fill="F0FDF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sz w:val="19"/>
              </w:rPr>
              <w:t>$\frac{\text{Activo Corriente}}{\text{Pasivo Corriente}}$</w:t>
            </w:r>
          </w:p>
        </w:tc>
        <w:tc>
          <w:tcPr>
            <w:tcW w:type="dxa" w:w="2340"/>
            <w:shd w:fill="F0FDF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sz w:val="19"/>
              </w:rPr>
              <w:t>$1,50 - 2,50$</w:t>
            </w:r>
          </w:p>
        </w:tc>
        <w:tc>
          <w:tcPr>
            <w:tcW w:type="dxa" w:w="2340"/>
            <w:shd w:fill="F0FDF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sz w:val="19"/>
              </w:rPr>
              <w:t>Liquidez General a Corto Plazo</w:t>
            </w:r>
          </w:p>
        </w:tc>
      </w:tr>
      <w:tr>
        <w:tc>
          <w:tcPr>
            <w:tcW w:type="dxa" w:w="2340"/>
            <w:shd w:fill="E6F4E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sz w:val="19"/>
              </w:rPr>
              <w:t>Prueba Ácida</w:t>
            </w:r>
          </w:p>
        </w:tc>
        <w:tc>
          <w:tcPr>
            <w:tcW w:type="dxa" w:w="2340"/>
            <w:shd w:fill="E6F4E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sz w:val="19"/>
              </w:rPr>
              <w:t>$\frac{\text{Activo Corriente} - \text{Inventario}}{\text{Pasivo Corriente}}$</w:t>
            </w:r>
          </w:p>
        </w:tc>
        <w:tc>
          <w:tcPr>
            <w:tcW w:type="dxa" w:w="2340"/>
            <w:shd w:fill="E6F4E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sz w:val="19"/>
              </w:rPr>
              <w:t>$1,00 - 1,50$</w:t>
            </w:r>
          </w:p>
        </w:tc>
        <w:tc>
          <w:tcPr>
            <w:tcW w:type="dxa" w:w="2340"/>
            <w:shd w:fill="E6F4E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sz w:val="19"/>
              </w:rPr>
              <w:t>Liquidez Severa Inmediata</w:t>
            </w:r>
          </w:p>
        </w:tc>
      </w:tr>
      <w:tr>
        <w:tc>
          <w:tcPr>
            <w:tcW w:type="dxa" w:w="2340"/>
            <w:shd w:fill="F0FDF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sz w:val="19"/>
              </w:rPr>
              <w:t>Ratio de Endeudamiento</w:t>
            </w:r>
          </w:p>
        </w:tc>
        <w:tc>
          <w:tcPr>
            <w:tcW w:type="dxa" w:w="2340"/>
            <w:shd w:fill="F0FDF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sz w:val="19"/>
              </w:rPr>
              <w:t>$\frac{\text{Pasivo Total}}{\text{Activo Total}}$</w:t>
            </w:r>
          </w:p>
        </w:tc>
        <w:tc>
          <w:tcPr>
            <w:tcW w:type="dxa" w:w="2340"/>
            <w:shd w:fill="F0FDF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sz w:val="19"/>
              </w:rPr>
              <w:t>$\le 60\%$</w:t>
            </w:r>
          </w:p>
        </w:tc>
        <w:tc>
          <w:tcPr>
            <w:tcW w:type="dxa" w:w="2340"/>
            <w:shd w:fill="F0FDF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sz w:val="19"/>
              </w:rPr>
              <w:t>Solvencia y Estructura de Capital</w:t>
            </w:r>
          </w:p>
        </w:tc>
      </w:tr>
      <w:tr>
        <w:tc>
          <w:tcPr>
            <w:tcW w:type="dxa" w:w="2340"/>
            <w:shd w:fill="E6F4E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sz w:val="19"/>
              </w:rPr>
              <w:t>Período Medio de Cobro (PMC)</w:t>
            </w:r>
          </w:p>
        </w:tc>
        <w:tc>
          <w:tcPr>
            <w:tcW w:type="dxa" w:w="2340"/>
            <w:shd w:fill="E6F4E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sz w:val="19"/>
              </w:rPr>
              <w:t>$\left( \frac{\text{Cuentas x Cobrar}}{\text{Ventas Crédito}} \right) \times 365$</w:t>
            </w:r>
          </w:p>
        </w:tc>
        <w:tc>
          <w:tcPr>
            <w:tcW w:type="dxa" w:w="2340"/>
            <w:shd w:fill="E6F4E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sz w:val="19"/>
              </w:rPr>
              <w:t>$&lt; \text{PMP}$</w:t>
            </w:r>
          </w:p>
        </w:tc>
        <w:tc>
          <w:tcPr>
            <w:tcW w:type="dxa" w:w="2340"/>
            <w:shd w:fill="E6F4E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sz w:val="19"/>
              </w:rPr>
              <w:t>Eficiencia de Cobranza</w:t>
            </w:r>
          </w:p>
        </w:tc>
      </w:tr>
      <w:tr>
        <w:tc>
          <w:tcPr>
            <w:tcW w:type="dxa" w:w="2340"/>
            <w:shd w:fill="F0FDF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sz w:val="19"/>
              </w:rPr>
              <w:t>Punto de Equilibrio ($Q_e$)</w:t>
            </w:r>
          </w:p>
        </w:tc>
        <w:tc>
          <w:tcPr>
            <w:tcW w:type="dxa" w:w="2340"/>
            <w:shd w:fill="F0FDF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sz w:val="19"/>
              </w:rPr>
              <w:t>$\frac{\text{CFT}}{\text{PVU} - \text{CVU}}$</w:t>
            </w:r>
          </w:p>
        </w:tc>
        <w:tc>
          <w:tcPr>
            <w:tcW w:type="dxa" w:w="2340"/>
            <w:shd w:fill="F0FDF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sz w:val="19"/>
              </w:rPr>
              <w:t>Cobertura $100\%$ Costos</w:t>
            </w:r>
          </w:p>
        </w:tc>
        <w:tc>
          <w:tcPr>
            <w:tcW w:type="dxa" w:w="2340"/>
            <w:shd w:fill="F0FDF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sz w:val="19"/>
              </w:rPr>
              <w:t>Umbral de Operación Sin Pérdidas</w:t>
            </w:r>
          </w:p>
        </w:tc>
      </w:tr>
      <w:tr>
        <w:tc>
          <w:tcPr>
            <w:tcW w:type="dxa" w:w="2340"/>
            <w:shd w:fill="E6F4E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sz w:val="19"/>
              </w:rPr>
              <w:t>ROA (Return on Assets)</w:t>
            </w:r>
          </w:p>
        </w:tc>
        <w:tc>
          <w:tcPr>
            <w:tcW w:type="dxa" w:w="2340"/>
            <w:shd w:fill="E6F4E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sz w:val="19"/>
              </w:rPr>
              <w:t>$\frac{\text{Utilidad Neta}}{\text{Activo Total}}$</w:t>
            </w:r>
          </w:p>
        </w:tc>
        <w:tc>
          <w:tcPr>
            <w:tcW w:type="dxa" w:w="2340"/>
            <w:shd w:fill="E6F4E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sz w:val="19"/>
              </w:rPr>
              <w:t>$&gt; 10\%$</w:t>
            </w:r>
          </w:p>
        </w:tc>
        <w:tc>
          <w:tcPr>
            <w:tcW w:type="dxa" w:w="2340"/>
            <w:shd w:fill="E6F4E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sz w:val="19"/>
              </w:rPr>
              <w:t>Eficiencia de la Inversión en Activos</w:t>
            </w:r>
          </w:p>
        </w:tc>
      </w:tr>
      <w:tr>
        <w:tc>
          <w:tcPr>
            <w:tcW w:type="dxa" w:w="2340"/>
            <w:shd w:fill="F0FDF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sz w:val="19"/>
              </w:rPr>
              <w:t>ROE (Return on Equity)</w:t>
            </w:r>
          </w:p>
        </w:tc>
        <w:tc>
          <w:tcPr>
            <w:tcW w:type="dxa" w:w="2340"/>
            <w:shd w:fill="F0FDF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sz w:val="19"/>
              </w:rPr>
              <w:t>$\frac{\text{Utilidad Neta}}{\text{Patrimonio Neto}}$</w:t>
            </w:r>
          </w:p>
        </w:tc>
        <w:tc>
          <w:tcPr>
            <w:tcW w:type="dxa" w:w="2340"/>
            <w:shd w:fill="F0FDF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sz w:val="19"/>
              </w:rPr>
              <w:t>$&gt; \text{Costo de Capital (WACC)}$</w:t>
            </w:r>
          </w:p>
        </w:tc>
        <w:tc>
          <w:tcPr>
            <w:tcW w:type="dxa" w:w="2340"/>
            <w:shd w:fill="F0FDF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/>
            <w:r>
              <w:rPr>
                <w:sz w:val="19"/>
              </w:rPr>
              <w:t>Rendimiento para los Accionistas</w:t>
            </w:r>
          </w:p>
        </w:tc>
      </w:tr>
    </w:tbl>
    <w:p>
      <w:pPr>
        <w:spacing w:after="120"/>
      </w:pPr>
    </w:p>
    <w:p>
      <w:pPr>
        <w:spacing w:before="120" w:after="120"/>
        <w:pBdr>
          <w:bottom w:val="single" w:sz="6" w:space="1" w:color="CBD5E0"/>
        </w:pBdr>
      </w:pPr>
    </w:p>
    <w:p>
      <w:pPr>
        <w:pStyle w:val="Heading2"/>
        <w:keepNext/>
        <w:spacing w:before="240" w:after="120"/>
      </w:pPr>
      <w:r>
        <w:rPr>
          <w:b/>
          <w:color w:val="0F766E"/>
          <w:sz w:val="30"/>
        </w:rPr>
        <w:t>BIBLIOGRAFÍA Y FUENTES DOCTRINALES</w:t>
      </w:r>
    </w:p>
    <w:p>
      <w:pPr>
        <w:pStyle w:val="ListNumber"/>
        <w:spacing w:after="60" w:before="0"/>
      </w:pPr>
      <w:r/>
      <w:r>
        <w:rPr>
          <w:b/>
        </w:rPr>
        <w:t>Brealey, Richard A., Myers, Stewart C., &amp; Allen, Franklin.</w:t>
      </w:r>
      <w:r>
        <w:t xml:space="preserve"> *Principios de Finanzas Corporativas*. McGraw-Hill, Madrid.</w:t>
      </w:r>
    </w:p>
    <w:p>
      <w:pPr>
        <w:pStyle w:val="ListNumber"/>
        <w:spacing w:after="60" w:before="0"/>
      </w:pPr>
      <w:r/>
      <w:r>
        <w:rPr>
          <w:b/>
        </w:rPr>
        <w:t>Gitman, Lawrence J., &amp; Zutter, Chad J.</w:t>
      </w:r>
      <w:r>
        <w:t xml:space="preserve"> *Principios de Administración Financiera*. Pearson Educación, México.</w:t>
      </w:r>
    </w:p>
    <w:p>
      <w:pPr>
        <w:pStyle w:val="ListNumber"/>
        <w:spacing w:after="60" w:before="0"/>
      </w:pPr>
      <w:r/>
      <w:r>
        <w:rPr>
          <w:b/>
        </w:rPr>
        <w:t>Urias Valiente, Jesús.</w:t>
      </w:r>
      <w:r>
        <w:t xml:space="preserve"> *Análisis de Estados Financieros*. Ediciones Pirámide, Madrid.</w:t>
      </w:r>
    </w:p>
    <w:p>
      <w:pPr>
        <w:pStyle w:val="ListNumber"/>
        <w:spacing w:after="60" w:before="0"/>
      </w:pPr>
      <w:r/>
      <w:r>
        <w:rPr>
          <w:b/>
        </w:rPr>
        <w:t>Rivero Torre, Pedro.</w:t>
      </w:r>
      <w:r>
        <w:t xml:space="preserve"> *Análisis del Balance de Situación*. Editorial Trimestre Económico, Madrid.</w:t>
      </w:r>
    </w:p>
    <w:p>
      <w:pPr>
        <w:pStyle w:val="ListNumber"/>
        <w:spacing w:after="60" w:before="0"/>
      </w:pPr>
      <w:r/>
      <w:r>
        <w:rPr>
          <w:b/>
        </w:rPr>
        <w:t>IASB.</w:t>
      </w:r>
      <w:r>
        <w:t xml:space="preserve"> *Norma Internacional de Información Financiera para Pequeñas y Medianas Entidades (NIIF para las PYMES)*. Secciones 3, 4, 5, 6 y 7.</w:t>
      </w:r>
    </w:p>
    <w:p>
      <w:pPr>
        <w:pStyle w:val="ListNumber"/>
        <w:spacing w:after="60" w:before="0"/>
      </w:pPr>
      <w:r/>
      <w:r>
        <w:rPr>
          <w:b/>
        </w:rPr>
        <w:t>FCCPV.</w:t>
      </w:r>
      <w:r>
        <w:t xml:space="preserve"> *Boletín de Aplicación VEN-NIF N° 8 (BA VEN-NIF 8)*. Principios de Contabilidad Generalmente Aceptados en Venezuela.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D374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