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2418" w:rsidRPr="00FE2418" w:rsidRDefault="00FE2418" w:rsidP="00FE2418">
      <w:pPr>
        <w:spacing w:after="0" w:line="240" w:lineRule="auto"/>
        <w:rPr>
          <w:rFonts w:ascii="Times New Roman" w:eastAsia="Times New Roman" w:hAnsi="Times New Roman" w:cs="Times New Roman"/>
          <w:sz w:val="24"/>
          <w:szCs w:val="24"/>
          <w:lang w:eastAsia="es-419"/>
        </w:rPr>
      </w:pPr>
      <w:r w:rsidRPr="00FE2418">
        <w:rPr>
          <w:rFonts w:ascii="Segoe UI Symbol" w:eastAsia="Times New Roman" w:hAnsi="Segoe UI Symbol" w:cs="Segoe UI Symbol"/>
          <w:sz w:val="24"/>
          <w:szCs w:val="24"/>
          <w:lang w:eastAsia="es-419"/>
        </w:rPr>
        <w:t>📌</w:t>
      </w:r>
      <w:r w:rsidRPr="00FE2418">
        <w:rPr>
          <w:rFonts w:ascii="Times New Roman" w:eastAsia="Times New Roman" w:hAnsi="Times New Roman" w:cs="Times New Roman"/>
          <w:sz w:val="24"/>
          <w:szCs w:val="24"/>
          <w:lang w:eastAsia="es-419"/>
        </w:rPr>
        <w:t xml:space="preserve"> Mensaje 1 (Lámina 1): Unidad 1 - Marco Legal y Plan de Cuentas</w:t>
      </w:r>
    </w:p>
    <w:p w:rsidR="00FE2418" w:rsidRPr="00FE2418" w:rsidRDefault="00FE2418" w:rsidP="00FE2418">
      <w:pPr>
        <w:spacing w:after="0" w:line="240" w:lineRule="auto"/>
        <w:rPr>
          <w:rFonts w:ascii="Times New Roman" w:eastAsia="Times New Roman" w:hAnsi="Times New Roman" w:cs="Times New Roman"/>
          <w:sz w:val="24"/>
          <w:szCs w:val="24"/>
          <w:lang w:eastAsia="es-419"/>
        </w:rPr>
      </w:pPr>
      <w:r w:rsidRPr="00FE2418">
        <w:rPr>
          <w:rFonts w:ascii="Times New Roman" w:eastAsia="Times New Roman" w:hAnsi="Times New Roman" w:cs="Times New Roman"/>
          <w:b/>
          <w:bCs/>
          <w:sz w:val="24"/>
          <w:szCs w:val="24"/>
          <w:lang w:eastAsia="es-419"/>
        </w:rPr>
        <w:t>Fundamentación Teórica:</w:t>
      </w:r>
      <w:r w:rsidRPr="00FE2418">
        <w:rPr>
          <w:rFonts w:ascii="Times New Roman" w:eastAsia="Times New Roman" w:hAnsi="Times New Roman" w:cs="Times New Roman"/>
          <w:sz w:val="24"/>
          <w:szCs w:val="24"/>
          <w:lang w:eastAsia="es-419"/>
        </w:rPr>
        <w:t xml:space="preserve"> De acuerdo con autores reconocidos como Charles T. </w:t>
      </w:r>
      <w:proofErr w:type="spellStart"/>
      <w:r w:rsidRPr="00FE2418">
        <w:rPr>
          <w:rFonts w:ascii="Times New Roman" w:eastAsia="Times New Roman" w:hAnsi="Times New Roman" w:cs="Times New Roman"/>
          <w:sz w:val="24"/>
          <w:szCs w:val="24"/>
          <w:lang w:eastAsia="es-419"/>
        </w:rPr>
        <w:t>Horngren</w:t>
      </w:r>
      <w:proofErr w:type="spellEnd"/>
      <w:r w:rsidRPr="00FE2418">
        <w:rPr>
          <w:rFonts w:ascii="Times New Roman" w:eastAsia="Times New Roman" w:hAnsi="Times New Roman" w:cs="Times New Roman"/>
          <w:sz w:val="24"/>
          <w:szCs w:val="24"/>
          <w:lang w:eastAsia="es-419"/>
        </w:rPr>
        <w:t xml:space="preserve">, Gary L. </w:t>
      </w:r>
      <w:proofErr w:type="spellStart"/>
      <w:r w:rsidRPr="00FE2418">
        <w:rPr>
          <w:rFonts w:ascii="Times New Roman" w:eastAsia="Times New Roman" w:hAnsi="Times New Roman" w:cs="Times New Roman"/>
          <w:sz w:val="24"/>
          <w:szCs w:val="24"/>
          <w:lang w:eastAsia="es-419"/>
        </w:rPr>
        <w:t>Sundem</w:t>
      </w:r>
      <w:proofErr w:type="spellEnd"/>
      <w:r w:rsidRPr="00FE2418">
        <w:rPr>
          <w:rFonts w:ascii="Times New Roman" w:eastAsia="Times New Roman" w:hAnsi="Times New Roman" w:cs="Times New Roman"/>
          <w:sz w:val="24"/>
          <w:szCs w:val="24"/>
          <w:lang w:eastAsia="es-419"/>
        </w:rPr>
        <w:t xml:space="preserve"> y John A. </w:t>
      </w:r>
      <w:proofErr w:type="spellStart"/>
      <w:r w:rsidRPr="00FE2418">
        <w:rPr>
          <w:rFonts w:ascii="Times New Roman" w:eastAsia="Times New Roman" w:hAnsi="Times New Roman" w:cs="Times New Roman"/>
          <w:sz w:val="24"/>
          <w:szCs w:val="24"/>
          <w:lang w:eastAsia="es-419"/>
        </w:rPr>
        <w:t>Elliot</w:t>
      </w:r>
      <w:proofErr w:type="spellEnd"/>
      <w:r w:rsidRPr="00FE2418">
        <w:rPr>
          <w:rFonts w:ascii="Times New Roman" w:eastAsia="Times New Roman" w:hAnsi="Times New Roman" w:cs="Times New Roman"/>
          <w:sz w:val="24"/>
          <w:szCs w:val="24"/>
          <w:lang w:eastAsia="es-419"/>
        </w:rPr>
        <w:t xml:space="preserve">, los Principios de Contabilidad Generalmente Aceptados (PCGA) son la expresión con la que se designan los conceptos generales y las prácticas detalladas que constituyen una guía aceptada en la técnica contable. En Venezuela, estos principios han evolucionado hacia los </w:t>
      </w:r>
      <w:r w:rsidRPr="00FE2418">
        <w:rPr>
          <w:rFonts w:ascii="Times New Roman" w:eastAsia="Times New Roman" w:hAnsi="Times New Roman" w:cs="Times New Roman"/>
          <w:b/>
          <w:bCs/>
          <w:sz w:val="24"/>
          <w:szCs w:val="24"/>
          <w:lang w:eastAsia="es-419"/>
        </w:rPr>
        <w:t>VEN-NIF</w:t>
      </w:r>
      <w:r w:rsidRPr="00FE2418">
        <w:rPr>
          <w:rFonts w:ascii="Times New Roman" w:eastAsia="Times New Roman" w:hAnsi="Times New Roman" w:cs="Times New Roman"/>
          <w:sz w:val="24"/>
          <w:szCs w:val="24"/>
          <w:lang w:eastAsia="es-419"/>
        </w:rPr>
        <w:t>, cuyo marco normativo obliga a diseñar un plan de cuentas que mida de forma fidedigna los elementos patrimoniales y económicos del ente.</w:t>
      </w:r>
    </w:p>
    <w:p w:rsidR="00FE2418" w:rsidRDefault="00FE2418" w:rsidP="00FE2418">
      <w:pPr>
        <w:spacing w:after="0" w:line="240" w:lineRule="auto"/>
        <w:rPr>
          <w:rFonts w:ascii="Times New Roman" w:eastAsia="Times New Roman" w:hAnsi="Times New Roman" w:cs="Times New Roman"/>
          <w:i/>
          <w:iCs/>
          <w:sz w:val="24"/>
          <w:szCs w:val="24"/>
          <w:lang w:eastAsia="es-419"/>
        </w:rPr>
      </w:pPr>
      <w:r w:rsidRPr="00FE2418">
        <w:rPr>
          <w:rFonts w:ascii="Segoe UI Symbol" w:eastAsia="Times New Roman" w:hAnsi="Segoe UI Symbol" w:cs="Segoe UI Symbol"/>
          <w:sz w:val="24"/>
          <w:szCs w:val="24"/>
          <w:lang w:eastAsia="es-419"/>
        </w:rPr>
        <w:t>🗣</w:t>
      </w:r>
      <w:r w:rsidRPr="00FE2418">
        <w:rPr>
          <w:rFonts w:ascii="Times New Roman" w:eastAsia="Times New Roman" w:hAnsi="Times New Roman" w:cs="Times New Roman"/>
          <w:sz w:val="24"/>
          <w:szCs w:val="24"/>
          <w:lang w:eastAsia="es-419"/>
        </w:rPr>
        <w:t xml:space="preserve"> </w:t>
      </w:r>
      <w:r w:rsidRPr="00FE2418">
        <w:rPr>
          <w:rFonts w:ascii="Times New Roman" w:eastAsia="Times New Roman" w:hAnsi="Times New Roman" w:cs="Times New Roman"/>
          <w:b/>
          <w:bCs/>
          <w:sz w:val="24"/>
          <w:szCs w:val="24"/>
          <w:lang w:eastAsia="es-419"/>
        </w:rPr>
        <w:t>Pregunta para el foro:</w:t>
      </w:r>
      <w:r w:rsidRPr="00FE2418">
        <w:rPr>
          <w:rFonts w:ascii="Times New Roman" w:eastAsia="Times New Roman" w:hAnsi="Times New Roman" w:cs="Times New Roman"/>
          <w:sz w:val="24"/>
          <w:szCs w:val="24"/>
          <w:lang w:eastAsia="es-419"/>
        </w:rPr>
        <w:t xml:space="preserve"> </w:t>
      </w:r>
      <w:r w:rsidRPr="00FE2418">
        <w:rPr>
          <w:rFonts w:ascii="Times New Roman" w:eastAsia="Times New Roman" w:hAnsi="Times New Roman" w:cs="Times New Roman"/>
          <w:i/>
          <w:iCs/>
          <w:sz w:val="24"/>
          <w:szCs w:val="24"/>
          <w:lang w:eastAsia="es-419"/>
        </w:rPr>
        <w:t xml:space="preserve">Considerando la teoría de </w:t>
      </w:r>
      <w:proofErr w:type="spellStart"/>
      <w:r w:rsidRPr="00FE2418">
        <w:rPr>
          <w:rFonts w:ascii="Times New Roman" w:eastAsia="Times New Roman" w:hAnsi="Times New Roman" w:cs="Times New Roman"/>
          <w:i/>
          <w:iCs/>
          <w:sz w:val="24"/>
          <w:szCs w:val="24"/>
          <w:lang w:eastAsia="es-419"/>
        </w:rPr>
        <w:t>Horngren</w:t>
      </w:r>
      <w:proofErr w:type="spellEnd"/>
      <w:r w:rsidRPr="00FE2418">
        <w:rPr>
          <w:rFonts w:ascii="Times New Roman" w:eastAsia="Times New Roman" w:hAnsi="Times New Roman" w:cs="Times New Roman"/>
          <w:i/>
          <w:iCs/>
          <w:sz w:val="24"/>
          <w:szCs w:val="24"/>
          <w:lang w:eastAsia="es-419"/>
        </w:rPr>
        <w:t xml:space="preserve"> sobre los PCGA como guía detallada de la contabilidad, ¿cómo ha impactado la adopción de los VEN-NIF en el diseño y la estructura del plan de cuentas de las empresas venezolanas en las que han trabajado?</w:t>
      </w:r>
    </w:p>
    <w:p w:rsidR="00FE2418" w:rsidRPr="00FE2418" w:rsidRDefault="00FE2418" w:rsidP="00FE2418">
      <w:pPr>
        <w:spacing w:before="100" w:beforeAutospacing="1" w:after="100" w:afterAutospacing="1" w:line="240" w:lineRule="auto"/>
        <w:rPr>
          <w:rFonts w:ascii="Times New Roman" w:eastAsia="Times New Roman" w:hAnsi="Times New Roman" w:cs="Times New Roman"/>
          <w:color w:val="1F4E79" w:themeColor="accent1" w:themeShade="80"/>
          <w:szCs w:val="24"/>
          <w:lang w:eastAsia="es-419"/>
        </w:rPr>
      </w:pPr>
      <w:r w:rsidRPr="00FE2418">
        <w:rPr>
          <w:rFonts w:ascii="Times New Roman" w:eastAsia="Times New Roman" w:hAnsi="Times New Roman" w:cs="Times New Roman"/>
          <w:color w:val="1F4E79" w:themeColor="accent1" w:themeShade="80"/>
          <w:szCs w:val="24"/>
          <w:lang w:eastAsia="es-419"/>
        </w:rPr>
        <w:t xml:space="preserve">Charles T. </w:t>
      </w:r>
      <w:proofErr w:type="spellStart"/>
      <w:r w:rsidRPr="00FE2418">
        <w:rPr>
          <w:rFonts w:ascii="Times New Roman" w:eastAsia="Times New Roman" w:hAnsi="Times New Roman" w:cs="Times New Roman"/>
          <w:color w:val="1F4E79" w:themeColor="accent1" w:themeShade="80"/>
          <w:szCs w:val="24"/>
          <w:lang w:eastAsia="es-419"/>
        </w:rPr>
        <w:t>Horngren</w:t>
      </w:r>
      <w:proofErr w:type="spellEnd"/>
      <w:r w:rsidRPr="00FE2418">
        <w:rPr>
          <w:rFonts w:ascii="Times New Roman" w:eastAsia="Times New Roman" w:hAnsi="Times New Roman" w:cs="Times New Roman"/>
          <w:color w:val="1F4E79" w:themeColor="accent1" w:themeShade="80"/>
          <w:szCs w:val="24"/>
          <w:lang w:eastAsia="es-419"/>
        </w:rPr>
        <w:t xml:space="preserve"> no propuso una "teoría" propia sobre los Principios de Contabilidad Generalmente Aceptados (PCGA) que reemplace a los estándares tradicionales; más bien, su trabajo es reconocido por </w:t>
      </w:r>
      <w:r w:rsidRPr="00FE2418">
        <w:rPr>
          <w:rFonts w:ascii="Times New Roman" w:eastAsia="Times New Roman" w:hAnsi="Times New Roman" w:cs="Times New Roman"/>
          <w:b/>
          <w:bCs/>
          <w:color w:val="1F4E79" w:themeColor="accent1" w:themeShade="80"/>
          <w:szCs w:val="24"/>
          <w:lang w:eastAsia="es-419"/>
        </w:rPr>
        <w:t>contextualizar, explicar y aplicar</w:t>
      </w:r>
      <w:r w:rsidRPr="00FE2418">
        <w:rPr>
          <w:rFonts w:ascii="Times New Roman" w:eastAsia="Times New Roman" w:hAnsi="Times New Roman" w:cs="Times New Roman"/>
          <w:color w:val="1F4E79" w:themeColor="accent1" w:themeShade="80"/>
          <w:szCs w:val="24"/>
          <w:lang w:eastAsia="es-419"/>
        </w:rPr>
        <w:t xml:space="preserve"> estos principios dentro de la realidad empresarial y administrativa.</w:t>
      </w:r>
    </w:p>
    <w:p w:rsidR="00FE2418" w:rsidRPr="00FE2418" w:rsidRDefault="00FE2418" w:rsidP="00FE2418">
      <w:pPr>
        <w:spacing w:before="100" w:beforeAutospacing="1" w:after="100" w:afterAutospacing="1" w:line="240" w:lineRule="auto"/>
        <w:rPr>
          <w:rFonts w:ascii="Times New Roman" w:eastAsia="Times New Roman" w:hAnsi="Times New Roman" w:cs="Times New Roman"/>
          <w:color w:val="1F4E79" w:themeColor="accent1" w:themeShade="80"/>
          <w:szCs w:val="24"/>
          <w:lang w:eastAsia="es-419"/>
        </w:rPr>
      </w:pPr>
      <w:r w:rsidRPr="00FE2418">
        <w:rPr>
          <w:rFonts w:ascii="Times New Roman" w:eastAsia="Times New Roman" w:hAnsi="Times New Roman" w:cs="Times New Roman"/>
          <w:color w:val="1F4E79" w:themeColor="accent1" w:themeShade="80"/>
          <w:szCs w:val="24"/>
          <w:lang w:eastAsia="es-419"/>
        </w:rPr>
        <w:t xml:space="preserve">Es fundamental entender que </w:t>
      </w:r>
      <w:proofErr w:type="spellStart"/>
      <w:r w:rsidRPr="00FE2418">
        <w:rPr>
          <w:rFonts w:ascii="Times New Roman" w:eastAsia="Times New Roman" w:hAnsi="Times New Roman" w:cs="Times New Roman"/>
          <w:color w:val="1F4E79" w:themeColor="accent1" w:themeShade="80"/>
          <w:szCs w:val="24"/>
          <w:lang w:eastAsia="es-419"/>
        </w:rPr>
        <w:t>Horngren</w:t>
      </w:r>
      <w:proofErr w:type="spellEnd"/>
      <w:r w:rsidRPr="00FE2418">
        <w:rPr>
          <w:rFonts w:ascii="Times New Roman" w:eastAsia="Times New Roman" w:hAnsi="Times New Roman" w:cs="Times New Roman"/>
          <w:color w:val="1F4E79" w:themeColor="accent1" w:themeShade="80"/>
          <w:szCs w:val="24"/>
          <w:lang w:eastAsia="es-419"/>
        </w:rPr>
        <w:t xml:space="preserve"> es un académico y autor de referencia en la contabilidad moderna (especialmente en la contabilidad de costos y administrativa), por lo que su aporte no es la invención de nuevos principios, sino el </w:t>
      </w:r>
      <w:r w:rsidRPr="00FE2418">
        <w:rPr>
          <w:rFonts w:ascii="Times New Roman" w:eastAsia="Times New Roman" w:hAnsi="Times New Roman" w:cs="Times New Roman"/>
          <w:b/>
          <w:bCs/>
          <w:color w:val="1F4E79" w:themeColor="accent1" w:themeShade="80"/>
          <w:szCs w:val="24"/>
          <w:lang w:eastAsia="es-419"/>
        </w:rPr>
        <w:t>enfoque pedagógico y gerencial</w:t>
      </w:r>
      <w:r w:rsidRPr="00FE2418">
        <w:rPr>
          <w:rFonts w:ascii="Times New Roman" w:eastAsia="Times New Roman" w:hAnsi="Times New Roman" w:cs="Times New Roman"/>
          <w:color w:val="1F4E79" w:themeColor="accent1" w:themeShade="80"/>
          <w:szCs w:val="24"/>
          <w:lang w:eastAsia="es-419"/>
        </w:rPr>
        <w:t xml:space="preserve"> de los ya existentes.</w:t>
      </w:r>
    </w:p>
    <w:p w:rsidR="00FE2418" w:rsidRPr="00FE2418" w:rsidRDefault="00FE2418" w:rsidP="00FE2418">
      <w:pPr>
        <w:spacing w:before="100" w:beforeAutospacing="1" w:after="100" w:afterAutospacing="1" w:line="240" w:lineRule="auto"/>
        <w:rPr>
          <w:rFonts w:ascii="Times New Roman" w:eastAsia="Times New Roman" w:hAnsi="Times New Roman" w:cs="Times New Roman"/>
          <w:color w:val="1F4E79" w:themeColor="accent1" w:themeShade="80"/>
          <w:szCs w:val="24"/>
          <w:lang w:eastAsia="es-419"/>
        </w:rPr>
      </w:pPr>
      <w:r w:rsidRPr="00FE2418">
        <w:rPr>
          <w:rFonts w:ascii="Times New Roman" w:eastAsia="Times New Roman" w:hAnsi="Times New Roman" w:cs="Times New Roman"/>
          <w:color w:val="1F4E79" w:themeColor="accent1" w:themeShade="80"/>
          <w:szCs w:val="24"/>
          <w:lang w:eastAsia="es-419"/>
        </w:rPr>
        <w:t>Aquí te resumo cómo se aborda su visión sobre los principios contables:</w:t>
      </w:r>
    </w:p>
    <w:p w:rsidR="00FE2418" w:rsidRPr="00FE2418" w:rsidRDefault="00FE2418" w:rsidP="00FE2418">
      <w:pPr>
        <w:spacing w:before="100" w:beforeAutospacing="1" w:after="100" w:afterAutospacing="1" w:line="240" w:lineRule="auto"/>
        <w:outlineLvl w:val="2"/>
        <w:rPr>
          <w:rFonts w:ascii="Times New Roman" w:eastAsia="Times New Roman" w:hAnsi="Times New Roman" w:cs="Times New Roman"/>
          <w:b/>
          <w:bCs/>
          <w:color w:val="1F4E79" w:themeColor="accent1" w:themeShade="80"/>
          <w:sz w:val="24"/>
          <w:szCs w:val="27"/>
          <w:lang w:eastAsia="es-419"/>
        </w:rPr>
      </w:pPr>
      <w:r w:rsidRPr="00FE2418">
        <w:rPr>
          <w:rFonts w:ascii="Times New Roman" w:eastAsia="Times New Roman" w:hAnsi="Times New Roman" w:cs="Times New Roman"/>
          <w:b/>
          <w:bCs/>
          <w:color w:val="1F4E79" w:themeColor="accent1" w:themeShade="80"/>
          <w:sz w:val="24"/>
          <w:szCs w:val="27"/>
          <w:lang w:eastAsia="es-419"/>
        </w:rPr>
        <w:t>1. El enfoque gerencial vs. el procedimental</w:t>
      </w:r>
    </w:p>
    <w:p w:rsidR="00FE2418" w:rsidRPr="00FE2418" w:rsidRDefault="00FE2418" w:rsidP="00FE2418">
      <w:pPr>
        <w:spacing w:before="100" w:beforeAutospacing="1" w:after="100" w:afterAutospacing="1" w:line="240" w:lineRule="auto"/>
        <w:rPr>
          <w:rFonts w:ascii="Times New Roman" w:eastAsia="Times New Roman" w:hAnsi="Times New Roman" w:cs="Times New Roman"/>
          <w:color w:val="1F4E79" w:themeColor="accent1" w:themeShade="80"/>
          <w:szCs w:val="24"/>
          <w:lang w:eastAsia="es-419"/>
        </w:rPr>
      </w:pPr>
      <w:r w:rsidRPr="00FE2418">
        <w:rPr>
          <w:rFonts w:ascii="Times New Roman" w:eastAsia="Times New Roman" w:hAnsi="Times New Roman" w:cs="Times New Roman"/>
          <w:color w:val="1F4E79" w:themeColor="accent1" w:themeShade="80"/>
          <w:szCs w:val="24"/>
          <w:lang w:eastAsia="es-419"/>
        </w:rPr>
        <w:t xml:space="preserve">La "teoría" de </w:t>
      </w:r>
      <w:proofErr w:type="spellStart"/>
      <w:r w:rsidRPr="00FE2418">
        <w:rPr>
          <w:rFonts w:ascii="Times New Roman" w:eastAsia="Times New Roman" w:hAnsi="Times New Roman" w:cs="Times New Roman"/>
          <w:color w:val="1F4E79" w:themeColor="accent1" w:themeShade="80"/>
          <w:szCs w:val="24"/>
          <w:lang w:eastAsia="es-419"/>
        </w:rPr>
        <w:t>Horngren</w:t>
      </w:r>
      <w:proofErr w:type="spellEnd"/>
      <w:r w:rsidRPr="00FE2418">
        <w:rPr>
          <w:rFonts w:ascii="Times New Roman" w:eastAsia="Times New Roman" w:hAnsi="Times New Roman" w:cs="Times New Roman"/>
          <w:color w:val="1F4E79" w:themeColor="accent1" w:themeShade="80"/>
          <w:szCs w:val="24"/>
          <w:lang w:eastAsia="es-419"/>
        </w:rPr>
        <w:t xml:space="preserve"> se distingue por no ver los PCGA como reglas estáticas o "recetas" rígidas, sino como herramientas dinámicas al servicio de la toma de decisiones.</w:t>
      </w:r>
    </w:p>
    <w:p w:rsidR="00FE2418" w:rsidRPr="00FE2418" w:rsidRDefault="00FE2418" w:rsidP="00FE2418">
      <w:pPr>
        <w:numPr>
          <w:ilvl w:val="0"/>
          <w:numId w:val="1"/>
        </w:numPr>
        <w:spacing w:before="100" w:beforeAutospacing="1" w:after="100" w:afterAutospacing="1" w:line="240" w:lineRule="auto"/>
        <w:rPr>
          <w:rFonts w:ascii="Times New Roman" w:eastAsia="Times New Roman" w:hAnsi="Times New Roman" w:cs="Times New Roman"/>
          <w:color w:val="1F4E79" w:themeColor="accent1" w:themeShade="80"/>
          <w:szCs w:val="24"/>
          <w:lang w:eastAsia="es-419"/>
        </w:rPr>
      </w:pPr>
      <w:r w:rsidRPr="00FE2418">
        <w:rPr>
          <w:rFonts w:ascii="Times New Roman" w:eastAsia="Times New Roman" w:hAnsi="Times New Roman" w:cs="Times New Roman"/>
          <w:b/>
          <w:bCs/>
          <w:color w:val="1F4E79" w:themeColor="accent1" w:themeShade="80"/>
          <w:szCs w:val="24"/>
          <w:lang w:eastAsia="es-419"/>
        </w:rPr>
        <w:t>Contabilidad Administrativa:</w:t>
      </w:r>
      <w:r w:rsidRPr="00FE2418">
        <w:rPr>
          <w:rFonts w:ascii="Times New Roman" w:eastAsia="Times New Roman" w:hAnsi="Times New Roman" w:cs="Times New Roman"/>
          <w:color w:val="1F4E79" w:themeColor="accent1" w:themeShade="80"/>
          <w:szCs w:val="24"/>
          <w:lang w:eastAsia="es-419"/>
        </w:rPr>
        <w:t xml:space="preserve"> En sus obras (como </w:t>
      </w:r>
      <w:r w:rsidRPr="00FE2418">
        <w:rPr>
          <w:rFonts w:ascii="Times New Roman" w:eastAsia="Times New Roman" w:hAnsi="Times New Roman" w:cs="Times New Roman"/>
          <w:i/>
          <w:iCs/>
          <w:color w:val="1F4E79" w:themeColor="accent1" w:themeShade="80"/>
          <w:szCs w:val="24"/>
          <w:lang w:eastAsia="es-419"/>
        </w:rPr>
        <w:t>Contabilidad Administrativa</w:t>
      </w:r>
      <w:r w:rsidRPr="00FE2418">
        <w:rPr>
          <w:rFonts w:ascii="Times New Roman" w:eastAsia="Times New Roman" w:hAnsi="Times New Roman" w:cs="Times New Roman"/>
          <w:color w:val="1F4E79" w:themeColor="accent1" w:themeShade="80"/>
          <w:szCs w:val="24"/>
          <w:lang w:eastAsia="es-419"/>
        </w:rPr>
        <w:t xml:space="preserve">), enfatiza que, si bien la contabilidad financiera debe seguir los PCGA para reportar información al exterior, la </w:t>
      </w:r>
      <w:r w:rsidRPr="00FE2418">
        <w:rPr>
          <w:rFonts w:ascii="Times New Roman" w:eastAsia="Times New Roman" w:hAnsi="Times New Roman" w:cs="Times New Roman"/>
          <w:b/>
          <w:bCs/>
          <w:color w:val="1F4E79" w:themeColor="accent1" w:themeShade="80"/>
          <w:szCs w:val="24"/>
          <w:lang w:eastAsia="es-419"/>
        </w:rPr>
        <w:t>contabilidad de gestión</w:t>
      </w:r>
      <w:r w:rsidRPr="00FE2418">
        <w:rPr>
          <w:rFonts w:ascii="Times New Roman" w:eastAsia="Times New Roman" w:hAnsi="Times New Roman" w:cs="Times New Roman"/>
          <w:color w:val="1F4E79" w:themeColor="accent1" w:themeShade="80"/>
          <w:szCs w:val="24"/>
          <w:lang w:eastAsia="es-419"/>
        </w:rPr>
        <w:t xml:space="preserve"> (o administrativa) tiene la flexibilidad de adaptarse a las necesidades específicas de la gerencia para la planificación y el control.</w:t>
      </w:r>
    </w:p>
    <w:p w:rsidR="00FE2418" w:rsidRPr="00FE2418" w:rsidRDefault="00FE2418" w:rsidP="00FE2418">
      <w:pPr>
        <w:numPr>
          <w:ilvl w:val="0"/>
          <w:numId w:val="1"/>
        </w:numPr>
        <w:spacing w:before="100" w:beforeAutospacing="1" w:after="100" w:afterAutospacing="1" w:line="240" w:lineRule="auto"/>
        <w:rPr>
          <w:rFonts w:ascii="Times New Roman" w:eastAsia="Times New Roman" w:hAnsi="Times New Roman" w:cs="Times New Roman"/>
          <w:color w:val="1F4E79" w:themeColor="accent1" w:themeShade="80"/>
          <w:szCs w:val="24"/>
          <w:lang w:eastAsia="es-419"/>
        </w:rPr>
      </w:pPr>
      <w:r w:rsidRPr="00FE2418">
        <w:rPr>
          <w:rFonts w:ascii="Times New Roman" w:eastAsia="Times New Roman" w:hAnsi="Times New Roman" w:cs="Times New Roman"/>
          <w:b/>
          <w:bCs/>
          <w:color w:val="1F4E79" w:themeColor="accent1" w:themeShade="80"/>
          <w:szCs w:val="24"/>
          <w:lang w:eastAsia="es-419"/>
        </w:rPr>
        <w:t>Costo-Beneficio:</w:t>
      </w:r>
      <w:r w:rsidRPr="00FE2418">
        <w:rPr>
          <w:rFonts w:ascii="Times New Roman" w:eastAsia="Times New Roman" w:hAnsi="Times New Roman" w:cs="Times New Roman"/>
          <w:color w:val="1F4E79" w:themeColor="accent1" w:themeShade="80"/>
          <w:szCs w:val="24"/>
          <w:lang w:eastAsia="es-419"/>
        </w:rPr>
        <w:t xml:space="preserve"> </w:t>
      </w:r>
      <w:proofErr w:type="spellStart"/>
      <w:r w:rsidRPr="00FE2418">
        <w:rPr>
          <w:rFonts w:ascii="Times New Roman" w:eastAsia="Times New Roman" w:hAnsi="Times New Roman" w:cs="Times New Roman"/>
          <w:color w:val="1F4E79" w:themeColor="accent1" w:themeShade="80"/>
          <w:szCs w:val="24"/>
          <w:lang w:eastAsia="es-419"/>
        </w:rPr>
        <w:t>Horngren</w:t>
      </w:r>
      <w:proofErr w:type="spellEnd"/>
      <w:r w:rsidRPr="00FE2418">
        <w:rPr>
          <w:rFonts w:ascii="Times New Roman" w:eastAsia="Times New Roman" w:hAnsi="Times New Roman" w:cs="Times New Roman"/>
          <w:color w:val="1F4E79" w:themeColor="accent1" w:themeShade="80"/>
          <w:szCs w:val="24"/>
          <w:lang w:eastAsia="es-419"/>
        </w:rPr>
        <w:t xml:space="preserve"> insiste en que cualquier sistema contable o aplicación de principios debe evaluar si el beneficio de obtener cierta información supera el costo de generarla.</w:t>
      </w:r>
    </w:p>
    <w:p w:rsidR="00FE2418" w:rsidRPr="00FE2418" w:rsidRDefault="00FE2418" w:rsidP="00FE2418">
      <w:pPr>
        <w:spacing w:before="100" w:beforeAutospacing="1" w:after="100" w:afterAutospacing="1" w:line="240" w:lineRule="auto"/>
        <w:outlineLvl w:val="2"/>
        <w:rPr>
          <w:rFonts w:ascii="Times New Roman" w:eastAsia="Times New Roman" w:hAnsi="Times New Roman" w:cs="Times New Roman"/>
          <w:b/>
          <w:bCs/>
          <w:color w:val="1F4E79" w:themeColor="accent1" w:themeShade="80"/>
          <w:sz w:val="24"/>
          <w:szCs w:val="27"/>
          <w:lang w:eastAsia="es-419"/>
        </w:rPr>
      </w:pPr>
      <w:r w:rsidRPr="00FE2418">
        <w:rPr>
          <w:rFonts w:ascii="Times New Roman" w:eastAsia="Times New Roman" w:hAnsi="Times New Roman" w:cs="Times New Roman"/>
          <w:b/>
          <w:bCs/>
          <w:color w:val="1F4E79" w:themeColor="accent1" w:themeShade="80"/>
          <w:sz w:val="24"/>
          <w:szCs w:val="27"/>
          <w:lang w:eastAsia="es-419"/>
        </w:rPr>
        <w:t>2. Los principios como base de la información útil</w:t>
      </w:r>
    </w:p>
    <w:p w:rsidR="00FE2418" w:rsidRPr="00FE2418" w:rsidRDefault="00FE2418" w:rsidP="00FE2418">
      <w:pPr>
        <w:spacing w:before="100" w:beforeAutospacing="1" w:after="100" w:afterAutospacing="1" w:line="240" w:lineRule="auto"/>
        <w:rPr>
          <w:rFonts w:ascii="Times New Roman" w:eastAsia="Times New Roman" w:hAnsi="Times New Roman" w:cs="Times New Roman"/>
          <w:color w:val="1F4E79" w:themeColor="accent1" w:themeShade="80"/>
          <w:szCs w:val="24"/>
          <w:lang w:eastAsia="es-419"/>
        </w:rPr>
      </w:pPr>
      <w:r w:rsidRPr="00FE2418">
        <w:rPr>
          <w:rFonts w:ascii="Times New Roman" w:eastAsia="Times New Roman" w:hAnsi="Times New Roman" w:cs="Times New Roman"/>
          <w:color w:val="1F4E79" w:themeColor="accent1" w:themeShade="80"/>
          <w:szCs w:val="24"/>
          <w:lang w:eastAsia="es-419"/>
        </w:rPr>
        <w:t xml:space="preserve">En sus libros de texto (como </w:t>
      </w:r>
      <w:proofErr w:type="spellStart"/>
      <w:r w:rsidRPr="00FE2418">
        <w:rPr>
          <w:rFonts w:ascii="Times New Roman" w:eastAsia="Times New Roman" w:hAnsi="Times New Roman" w:cs="Times New Roman"/>
          <w:i/>
          <w:iCs/>
          <w:color w:val="1F4E79" w:themeColor="accent1" w:themeShade="80"/>
          <w:szCs w:val="24"/>
          <w:lang w:eastAsia="es-419"/>
        </w:rPr>
        <w:t>Accounting</w:t>
      </w:r>
      <w:proofErr w:type="spellEnd"/>
      <w:r w:rsidRPr="00FE2418">
        <w:rPr>
          <w:rFonts w:ascii="Times New Roman" w:eastAsia="Times New Roman" w:hAnsi="Times New Roman" w:cs="Times New Roman"/>
          <w:color w:val="1F4E79" w:themeColor="accent1" w:themeShade="80"/>
          <w:szCs w:val="24"/>
          <w:lang w:eastAsia="es-419"/>
        </w:rPr>
        <w:t xml:space="preserve"> o </w:t>
      </w:r>
      <w:proofErr w:type="spellStart"/>
      <w:r w:rsidRPr="00FE2418">
        <w:rPr>
          <w:rFonts w:ascii="Times New Roman" w:eastAsia="Times New Roman" w:hAnsi="Times New Roman" w:cs="Times New Roman"/>
          <w:i/>
          <w:iCs/>
          <w:color w:val="1F4E79" w:themeColor="accent1" w:themeShade="80"/>
          <w:szCs w:val="24"/>
          <w:lang w:eastAsia="es-419"/>
        </w:rPr>
        <w:t>Cost</w:t>
      </w:r>
      <w:proofErr w:type="spellEnd"/>
      <w:r w:rsidRPr="00FE2418">
        <w:rPr>
          <w:rFonts w:ascii="Times New Roman" w:eastAsia="Times New Roman" w:hAnsi="Times New Roman" w:cs="Times New Roman"/>
          <w:i/>
          <w:iCs/>
          <w:color w:val="1F4E79" w:themeColor="accent1" w:themeShade="80"/>
          <w:szCs w:val="24"/>
          <w:lang w:eastAsia="es-419"/>
        </w:rPr>
        <w:t xml:space="preserve"> </w:t>
      </w:r>
      <w:proofErr w:type="spellStart"/>
      <w:r w:rsidRPr="00FE2418">
        <w:rPr>
          <w:rFonts w:ascii="Times New Roman" w:eastAsia="Times New Roman" w:hAnsi="Times New Roman" w:cs="Times New Roman"/>
          <w:i/>
          <w:iCs/>
          <w:color w:val="1F4E79" w:themeColor="accent1" w:themeShade="80"/>
          <w:szCs w:val="24"/>
          <w:lang w:eastAsia="es-419"/>
        </w:rPr>
        <w:t>Accounting</w:t>
      </w:r>
      <w:proofErr w:type="spellEnd"/>
      <w:r w:rsidRPr="00FE2418">
        <w:rPr>
          <w:rFonts w:ascii="Times New Roman" w:eastAsia="Times New Roman" w:hAnsi="Times New Roman" w:cs="Times New Roman"/>
          <w:i/>
          <w:iCs/>
          <w:color w:val="1F4E79" w:themeColor="accent1" w:themeShade="80"/>
          <w:szCs w:val="24"/>
          <w:lang w:eastAsia="es-419"/>
        </w:rPr>
        <w:t xml:space="preserve">: A </w:t>
      </w:r>
      <w:proofErr w:type="spellStart"/>
      <w:r w:rsidRPr="00FE2418">
        <w:rPr>
          <w:rFonts w:ascii="Times New Roman" w:eastAsia="Times New Roman" w:hAnsi="Times New Roman" w:cs="Times New Roman"/>
          <w:i/>
          <w:iCs/>
          <w:color w:val="1F4E79" w:themeColor="accent1" w:themeShade="80"/>
          <w:szCs w:val="24"/>
          <w:lang w:eastAsia="es-419"/>
        </w:rPr>
        <w:t>Managerial</w:t>
      </w:r>
      <w:proofErr w:type="spellEnd"/>
      <w:r w:rsidRPr="00FE2418">
        <w:rPr>
          <w:rFonts w:ascii="Times New Roman" w:eastAsia="Times New Roman" w:hAnsi="Times New Roman" w:cs="Times New Roman"/>
          <w:i/>
          <w:iCs/>
          <w:color w:val="1F4E79" w:themeColor="accent1" w:themeShade="80"/>
          <w:szCs w:val="24"/>
          <w:lang w:eastAsia="es-419"/>
        </w:rPr>
        <w:t xml:space="preserve"> </w:t>
      </w:r>
      <w:proofErr w:type="spellStart"/>
      <w:r w:rsidRPr="00FE2418">
        <w:rPr>
          <w:rFonts w:ascii="Times New Roman" w:eastAsia="Times New Roman" w:hAnsi="Times New Roman" w:cs="Times New Roman"/>
          <w:i/>
          <w:iCs/>
          <w:color w:val="1F4E79" w:themeColor="accent1" w:themeShade="80"/>
          <w:szCs w:val="24"/>
          <w:lang w:eastAsia="es-419"/>
        </w:rPr>
        <w:t>Emphasis</w:t>
      </w:r>
      <w:proofErr w:type="spellEnd"/>
      <w:r w:rsidRPr="00FE2418">
        <w:rPr>
          <w:rFonts w:ascii="Times New Roman" w:eastAsia="Times New Roman" w:hAnsi="Times New Roman" w:cs="Times New Roman"/>
          <w:color w:val="1F4E79" w:themeColor="accent1" w:themeShade="80"/>
          <w:szCs w:val="24"/>
          <w:lang w:eastAsia="es-419"/>
        </w:rPr>
        <w:t xml:space="preserve">), </w:t>
      </w:r>
      <w:proofErr w:type="spellStart"/>
      <w:r w:rsidRPr="00FE2418">
        <w:rPr>
          <w:rFonts w:ascii="Times New Roman" w:eastAsia="Times New Roman" w:hAnsi="Times New Roman" w:cs="Times New Roman"/>
          <w:color w:val="1F4E79" w:themeColor="accent1" w:themeShade="80"/>
          <w:szCs w:val="24"/>
          <w:lang w:eastAsia="es-419"/>
        </w:rPr>
        <w:t>Horngren</w:t>
      </w:r>
      <w:proofErr w:type="spellEnd"/>
      <w:r w:rsidRPr="00FE2418">
        <w:rPr>
          <w:rFonts w:ascii="Times New Roman" w:eastAsia="Times New Roman" w:hAnsi="Times New Roman" w:cs="Times New Roman"/>
          <w:color w:val="1F4E79" w:themeColor="accent1" w:themeShade="80"/>
          <w:szCs w:val="24"/>
          <w:lang w:eastAsia="es-419"/>
        </w:rPr>
        <w:t xml:space="preserve"> presenta los PCGA como el marco que garantiza la </w:t>
      </w:r>
      <w:r w:rsidRPr="00FE2418">
        <w:rPr>
          <w:rFonts w:ascii="Times New Roman" w:eastAsia="Times New Roman" w:hAnsi="Times New Roman" w:cs="Times New Roman"/>
          <w:b/>
          <w:bCs/>
          <w:color w:val="1F4E79" w:themeColor="accent1" w:themeShade="80"/>
          <w:szCs w:val="24"/>
          <w:lang w:eastAsia="es-419"/>
        </w:rPr>
        <w:t>coherencia y comparabilidad</w:t>
      </w:r>
      <w:r w:rsidRPr="00FE2418">
        <w:rPr>
          <w:rFonts w:ascii="Times New Roman" w:eastAsia="Times New Roman" w:hAnsi="Times New Roman" w:cs="Times New Roman"/>
          <w:color w:val="1F4E79" w:themeColor="accent1" w:themeShade="80"/>
          <w:szCs w:val="24"/>
          <w:lang w:eastAsia="es-419"/>
        </w:rPr>
        <w:t xml:space="preserve"> de la información financiera. Según su visión:</w:t>
      </w:r>
    </w:p>
    <w:p w:rsidR="00FE2418" w:rsidRPr="00FE2418" w:rsidRDefault="00FE2418" w:rsidP="00FE2418">
      <w:pPr>
        <w:numPr>
          <w:ilvl w:val="0"/>
          <w:numId w:val="2"/>
        </w:numPr>
        <w:spacing w:before="100" w:beforeAutospacing="1" w:after="100" w:afterAutospacing="1" w:line="240" w:lineRule="auto"/>
        <w:rPr>
          <w:rFonts w:ascii="Times New Roman" w:eastAsia="Times New Roman" w:hAnsi="Times New Roman" w:cs="Times New Roman"/>
          <w:color w:val="1F4E79" w:themeColor="accent1" w:themeShade="80"/>
          <w:szCs w:val="24"/>
          <w:lang w:eastAsia="es-419"/>
        </w:rPr>
      </w:pPr>
      <w:r w:rsidRPr="00FE2418">
        <w:rPr>
          <w:rFonts w:ascii="Times New Roman" w:eastAsia="Times New Roman" w:hAnsi="Times New Roman" w:cs="Times New Roman"/>
          <w:color w:val="1F4E79" w:themeColor="accent1" w:themeShade="80"/>
          <w:szCs w:val="24"/>
          <w:lang w:eastAsia="es-419"/>
        </w:rPr>
        <w:t>Los principios proporcionan la estructura necesaria para que los usuarios externos puedan confiar en los estados financieros.</w:t>
      </w:r>
    </w:p>
    <w:p w:rsidR="00FE2418" w:rsidRPr="00FE2418" w:rsidRDefault="00FE2418" w:rsidP="00FE2418">
      <w:pPr>
        <w:numPr>
          <w:ilvl w:val="0"/>
          <w:numId w:val="2"/>
        </w:numPr>
        <w:spacing w:before="100" w:beforeAutospacing="1" w:after="100" w:afterAutospacing="1" w:line="240" w:lineRule="auto"/>
        <w:rPr>
          <w:rFonts w:ascii="Times New Roman" w:eastAsia="Times New Roman" w:hAnsi="Times New Roman" w:cs="Times New Roman"/>
          <w:color w:val="1F4E79" w:themeColor="accent1" w:themeShade="80"/>
          <w:szCs w:val="24"/>
          <w:lang w:eastAsia="es-419"/>
        </w:rPr>
      </w:pPr>
      <w:r w:rsidRPr="00FE2418">
        <w:rPr>
          <w:rFonts w:ascii="Times New Roman" w:eastAsia="Times New Roman" w:hAnsi="Times New Roman" w:cs="Times New Roman"/>
          <w:color w:val="1F4E79" w:themeColor="accent1" w:themeShade="80"/>
          <w:szCs w:val="24"/>
          <w:lang w:eastAsia="es-419"/>
        </w:rPr>
        <w:t>Su aplicación es esencial para transformar datos brutos en información estratégica, permitiendo que los gerentes evalúen el desempeño real de la empresa.</w:t>
      </w:r>
    </w:p>
    <w:p w:rsidR="00FE2418" w:rsidRPr="00FE2418" w:rsidRDefault="00FE2418" w:rsidP="00FE2418">
      <w:pPr>
        <w:spacing w:before="100" w:beforeAutospacing="1" w:after="100" w:afterAutospacing="1" w:line="240" w:lineRule="auto"/>
        <w:outlineLvl w:val="2"/>
        <w:rPr>
          <w:rFonts w:ascii="Times New Roman" w:eastAsia="Times New Roman" w:hAnsi="Times New Roman" w:cs="Times New Roman"/>
          <w:b/>
          <w:bCs/>
          <w:color w:val="1F4E79" w:themeColor="accent1" w:themeShade="80"/>
          <w:sz w:val="24"/>
          <w:szCs w:val="27"/>
          <w:lang w:eastAsia="es-419"/>
        </w:rPr>
      </w:pPr>
      <w:r w:rsidRPr="00FE2418">
        <w:rPr>
          <w:rFonts w:ascii="Times New Roman" w:eastAsia="Times New Roman" w:hAnsi="Times New Roman" w:cs="Times New Roman"/>
          <w:b/>
          <w:bCs/>
          <w:color w:val="1F4E79" w:themeColor="accent1" w:themeShade="80"/>
          <w:sz w:val="24"/>
          <w:szCs w:val="27"/>
          <w:lang w:eastAsia="es-419"/>
        </w:rPr>
        <w:t>3. Su relación con las normas internacionales</w:t>
      </w:r>
    </w:p>
    <w:p w:rsidR="00FE2418" w:rsidRPr="00FE2418" w:rsidRDefault="00FE2418" w:rsidP="00FE2418">
      <w:pPr>
        <w:spacing w:before="100" w:beforeAutospacing="1" w:after="100" w:afterAutospacing="1" w:line="240" w:lineRule="auto"/>
        <w:rPr>
          <w:rFonts w:ascii="Times New Roman" w:eastAsia="Times New Roman" w:hAnsi="Times New Roman" w:cs="Times New Roman"/>
          <w:color w:val="1F4E79" w:themeColor="accent1" w:themeShade="80"/>
          <w:szCs w:val="24"/>
          <w:lang w:eastAsia="es-419"/>
        </w:rPr>
      </w:pPr>
      <w:proofErr w:type="spellStart"/>
      <w:r w:rsidRPr="00FE2418">
        <w:rPr>
          <w:rFonts w:ascii="Times New Roman" w:eastAsia="Times New Roman" w:hAnsi="Times New Roman" w:cs="Times New Roman"/>
          <w:color w:val="1F4E79" w:themeColor="accent1" w:themeShade="80"/>
          <w:szCs w:val="24"/>
          <w:lang w:eastAsia="es-419"/>
        </w:rPr>
        <w:t>Horngren</w:t>
      </w:r>
      <w:proofErr w:type="spellEnd"/>
      <w:r w:rsidRPr="00FE2418">
        <w:rPr>
          <w:rFonts w:ascii="Times New Roman" w:eastAsia="Times New Roman" w:hAnsi="Times New Roman" w:cs="Times New Roman"/>
          <w:color w:val="1F4E79" w:themeColor="accent1" w:themeShade="80"/>
          <w:szCs w:val="24"/>
          <w:lang w:eastAsia="es-419"/>
        </w:rPr>
        <w:t xml:space="preserve"> no fue un creador de normas (como lo es el FASB o el IASB), pero su vasta producción académica ha servido de base para que estudiantes y profesionales entiendan </w:t>
      </w:r>
      <w:proofErr w:type="spellStart"/>
      <w:r w:rsidRPr="00FE2418">
        <w:rPr>
          <w:rFonts w:ascii="Times New Roman" w:eastAsia="Times New Roman" w:hAnsi="Times New Roman" w:cs="Times New Roman"/>
          <w:color w:val="1F4E79" w:themeColor="accent1" w:themeShade="80"/>
          <w:szCs w:val="24"/>
          <w:lang w:eastAsia="es-419"/>
        </w:rPr>
        <w:t xml:space="preserve">el </w:t>
      </w:r>
      <w:r w:rsidRPr="00FE2418">
        <w:rPr>
          <w:rFonts w:ascii="Times New Roman" w:eastAsia="Times New Roman" w:hAnsi="Times New Roman" w:cs="Times New Roman"/>
          <w:b/>
          <w:bCs/>
          <w:color w:val="1F4E79" w:themeColor="accent1" w:themeShade="80"/>
          <w:szCs w:val="24"/>
          <w:lang w:eastAsia="es-419"/>
        </w:rPr>
        <w:t>porqué</w:t>
      </w:r>
      <w:proofErr w:type="spellEnd"/>
      <w:r w:rsidRPr="00FE2418">
        <w:rPr>
          <w:rFonts w:ascii="Times New Roman" w:eastAsia="Times New Roman" w:hAnsi="Times New Roman" w:cs="Times New Roman"/>
          <w:color w:val="1F4E79" w:themeColor="accent1" w:themeShade="80"/>
          <w:szCs w:val="24"/>
          <w:lang w:eastAsia="es-419"/>
        </w:rPr>
        <w:t xml:space="preserve"> detrás de los principios contables. En la actualidad, su enfoque se ha alineado con las </w:t>
      </w:r>
      <w:r w:rsidRPr="00FE2418">
        <w:rPr>
          <w:rFonts w:ascii="Times New Roman" w:eastAsia="Times New Roman" w:hAnsi="Times New Roman" w:cs="Times New Roman"/>
          <w:b/>
          <w:bCs/>
          <w:color w:val="1F4E79" w:themeColor="accent1" w:themeShade="80"/>
          <w:szCs w:val="24"/>
          <w:lang w:eastAsia="es-419"/>
        </w:rPr>
        <w:t>NIIF (Normas Internacionales de Información Financiera)</w:t>
      </w:r>
      <w:r w:rsidRPr="00FE2418">
        <w:rPr>
          <w:rFonts w:ascii="Times New Roman" w:eastAsia="Times New Roman" w:hAnsi="Times New Roman" w:cs="Times New Roman"/>
          <w:color w:val="1F4E79" w:themeColor="accent1" w:themeShade="80"/>
          <w:szCs w:val="24"/>
          <w:lang w:eastAsia="es-419"/>
        </w:rPr>
        <w:t>, promoviendo que los principios contables deben reflejar la esencia económica de las transacciones sobre la mera forma jurídica.</w:t>
      </w:r>
    </w:p>
    <w:p w:rsidR="00FE2418" w:rsidRPr="00FE2418" w:rsidRDefault="00FE2418" w:rsidP="00FE2418">
      <w:pPr>
        <w:spacing w:before="100" w:beforeAutospacing="1" w:after="100" w:afterAutospacing="1" w:line="240" w:lineRule="auto"/>
        <w:rPr>
          <w:rFonts w:ascii="Times New Roman" w:eastAsia="Times New Roman" w:hAnsi="Times New Roman" w:cs="Times New Roman"/>
          <w:color w:val="1F4E79" w:themeColor="accent1" w:themeShade="80"/>
          <w:szCs w:val="24"/>
          <w:lang w:eastAsia="es-419"/>
        </w:rPr>
      </w:pPr>
      <w:r w:rsidRPr="00FE2418">
        <w:rPr>
          <w:rFonts w:ascii="Times New Roman" w:eastAsia="Times New Roman" w:hAnsi="Times New Roman" w:cs="Times New Roman"/>
          <w:b/>
          <w:bCs/>
          <w:color w:val="1F4E79" w:themeColor="accent1" w:themeShade="80"/>
          <w:szCs w:val="24"/>
          <w:lang w:eastAsia="es-419"/>
        </w:rPr>
        <w:t>En conclusión:</w:t>
      </w:r>
      <w:r w:rsidRPr="00FE2418">
        <w:rPr>
          <w:rFonts w:ascii="Times New Roman" w:eastAsia="Times New Roman" w:hAnsi="Times New Roman" w:cs="Times New Roman"/>
          <w:color w:val="1F4E79" w:themeColor="accent1" w:themeShade="80"/>
          <w:szCs w:val="24"/>
          <w:lang w:eastAsia="es-419"/>
        </w:rPr>
        <w:t xml:space="preserve"> Si buscas la "teoría de </w:t>
      </w:r>
      <w:proofErr w:type="spellStart"/>
      <w:r w:rsidRPr="00FE2418">
        <w:rPr>
          <w:rFonts w:ascii="Times New Roman" w:eastAsia="Times New Roman" w:hAnsi="Times New Roman" w:cs="Times New Roman"/>
          <w:color w:val="1F4E79" w:themeColor="accent1" w:themeShade="80"/>
          <w:szCs w:val="24"/>
          <w:lang w:eastAsia="es-419"/>
        </w:rPr>
        <w:t>Horngren</w:t>
      </w:r>
      <w:proofErr w:type="spellEnd"/>
      <w:r w:rsidRPr="00FE2418">
        <w:rPr>
          <w:rFonts w:ascii="Times New Roman" w:eastAsia="Times New Roman" w:hAnsi="Times New Roman" w:cs="Times New Roman"/>
          <w:color w:val="1F4E79" w:themeColor="accent1" w:themeShade="80"/>
          <w:szCs w:val="24"/>
          <w:lang w:eastAsia="es-419"/>
        </w:rPr>
        <w:t xml:space="preserve">" sobre los PCGA, la encontrarás en su insistencia por </w:t>
      </w:r>
      <w:r w:rsidRPr="00FE2418">
        <w:rPr>
          <w:rFonts w:ascii="Times New Roman" w:eastAsia="Times New Roman" w:hAnsi="Times New Roman" w:cs="Times New Roman"/>
          <w:b/>
          <w:bCs/>
          <w:color w:val="1F4E79" w:themeColor="accent1" w:themeShade="80"/>
          <w:szCs w:val="24"/>
          <w:lang w:eastAsia="es-419"/>
        </w:rPr>
        <w:t>pasar de la técnica a la estrategia</w:t>
      </w:r>
      <w:r w:rsidRPr="00FE2418">
        <w:rPr>
          <w:rFonts w:ascii="Times New Roman" w:eastAsia="Times New Roman" w:hAnsi="Times New Roman" w:cs="Times New Roman"/>
          <w:color w:val="1F4E79" w:themeColor="accent1" w:themeShade="80"/>
          <w:szCs w:val="24"/>
          <w:lang w:eastAsia="es-419"/>
        </w:rPr>
        <w:t>. Él no propone romper los PCGA, sino utilizarlos con criterio para que la información financiera no sea solo un requisito legal, sino la brújula que guíe la toma de decisiones en una organización.</w:t>
      </w:r>
    </w:p>
    <w:p w:rsidR="00FE2418" w:rsidRPr="00FE2418" w:rsidRDefault="000972BD" w:rsidP="00FE2418">
      <w:pPr>
        <w:spacing w:after="0" w:line="240" w:lineRule="auto"/>
        <w:rPr>
          <w:rFonts w:ascii="Times New Roman" w:eastAsia="Times New Roman" w:hAnsi="Times New Roman" w:cs="Times New Roman"/>
          <w:sz w:val="24"/>
          <w:szCs w:val="24"/>
          <w:lang w:eastAsia="es-419"/>
        </w:rPr>
      </w:pPr>
      <w:r>
        <w:rPr>
          <w:rFonts w:ascii="Times New Roman" w:eastAsia="Times New Roman" w:hAnsi="Times New Roman" w:cs="Times New Roman"/>
          <w:sz w:val="24"/>
          <w:szCs w:val="24"/>
          <w:lang w:eastAsia="es-419"/>
        </w:rPr>
        <w:pict>
          <v:rect id="_x0000_i1025" style="width:0;height:1.5pt" o:hralign="center" o:hrstd="t" o:hr="t" fillcolor="#a0a0a0" stroked="f"/>
        </w:pict>
      </w:r>
    </w:p>
    <w:p w:rsidR="00FE2418" w:rsidRPr="00FE2418" w:rsidRDefault="00FE2418" w:rsidP="00FE2418">
      <w:pPr>
        <w:spacing w:after="0" w:line="240" w:lineRule="auto"/>
        <w:rPr>
          <w:rFonts w:ascii="Times New Roman" w:eastAsia="Times New Roman" w:hAnsi="Times New Roman" w:cs="Times New Roman"/>
          <w:sz w:val="24"/>
          <w:szCs w:val="24"/>
          <w:lang w:eastAsia="es-419"/>
        </w:rPr>
      </w:pPr>
      <w:r w:rsidRPr="00FE2418">
        <w:rPr>
          <w:rFonts w:ascii="Segoe UI Symbol" w:eastAsia="Times New Roman" w:hAnsi="Segoe UI Symbol" w:cs="Segoe UI Symbol"/>
          <w:sz w:val="24"/>
          <w:szCs w:val="24"/>
          <w:lang w:eastAsia="es-419"/>
        </w:rPr>
        <w:lastRenderedPageBreak/>
        <w:t>📌</w:t>
      </w:r>
      <w:r w:rsidRPr="00FE2418">
        <w:rPr>
          <w:rFonts w:ascii="Times New Roman" w:eastAsia="Times New Roman" w:hAnsi="Times New Roman" w:cs="Times New Roman"/>
          <w:sz w:val="24"/>
          <w:szCs w:val="24"/>
          <w:lang w:eastAsia="es-419"/>
        </w:rPr>
        <w:t xml:space="preserve"> Mensaje 2 (Lámina 2): Unidad 2 - Estructura del PGC para PYMES</w:t>
      </w:r>
    </w:p>
    <w:p w:rsidR="00FE2418" w:rsidRPr="00FE2418" w:rsidRDefault="00FE2418" w:rsidP="00FE2418">
      <w:pPr>
        <w:spacing w:after="0" w:line="240" w:lineRule="auto"/>
        <w:rPr>
          <w:rFonts w:ascii="Times New Roman" w:eastAsia="Times New Roman" w:hAnsi="Times New Roman" w:cs="Times New Roman"/>
          <w:sz w:val="24"/>
          <w:szCs w:val="24"/>
          <w:lang w:eastAsia="es-419"/>
        </w:rPr>
      </w:pPr>
      <w:r w:rsidRPr="00FE2418">
        <w:rPr>
          <w:rFonts w:ascii="Times New Roman" w:eastAsia="Times New Roman" w:hAnsi="Times New Roman" w:cs="Times New Roman"/>
          <w:b/>
          <w:bCs/>
          <w:sz w:val="24"/>
          <w:szCs w:val="24"/>
          <w:lang w:eastAsia="es-419"/>
        </w:rPr>
        <w:t>Fundamentación Teórica:</w:t>
      </w:r>
      <w:r w:rsidRPr="00FE2418">
        <w:rPr>
          <w:rFonts w:ascii="Times New Roman" w:eastAsia="Times New Roman" w:hAnsi="Times New Roman" w:cs="Times New Roman"/>
          <w:sz w:val="24"/>
          <w:szCs w:val="24"/>
          <w:lang w:eastAsia="es-419"/>
        </w:rPr>
        <w:t xml:space="preserve"> Para las Pequeñas y Medianas Entidades (PYMES), la estructuración de sus cuentas anuales debe basarse obligatoriamente en la hipótesis del "negocio en marcha". Tal como indica el párrafo 3.8 de la NIIF para PYMES, la gerencia evaluará la capacidad de la entidad para continuar en funcionamiento en el futuro previsible, garantizando que no existe intención ni necesidad de liquidar la escala de sus operaciones. Esta simplificación de las NIIF busca brindar transparencia para los usuarios externos como acreedores, y facilitar la toma de decisiones.</w:t>
      </w:r>
    </w:p>
    <w:p w:rsidR="00FE2418" w:rsidRDefault="00FE2418" w:rsidP="00FE2418">
      <w:pPr>
        <w:spacing w:after="0" w:line="240" w:lineRule="auto"/>
        <w:rPr>
          <w:rFonts w:ascii="Times New Roman" w:eastAsia="Times New Roman" w:hAnsi="Times New Roman" w:cs="Times New Roman"/>
          <w:i/>
          <w:iCs/>
          <w:sz w:val="24"/>
          <w:szCs w:val="24"/>
          <w:lang w:eastAsia="es-419"/>
        </w:rPr>
      </w:pPr>
      <w:r w:rsidRPr="00FE2418">
        <w:rPr>
          <w:rFonts w:ascii="Segoe UI Symbol" w:eastAsia="Times New Roman" w:hAnsi="Segoe UI Symbol" w:cs="Segoe UI Symbol"/>
          <w:sz w:val="24"/>
          <w:szCs w:val="24"/>
          <w:lang w:eastAsia="es-419"/>
        </w:rPr>
        <w:t>🗣</w:t>
      </w:r>
      <w:r w:rsidRPr="00FE2418">
        <w:rPr>
          <w:rFonts w:ascii="Times New Roman" w:eastAsia="Times New Roman" w:hAnsi="Times New Roman" w:cs="Times New Roman"/>
          <w:sz w:val="24"/>
          <w:szCs w:val="24"/>
          <w:lang w:eastAsia="es-419"/>
        </w:rPr>
        <w:t xml:space="preserve"> </w:t>
      </w:r>
      <w:r w:rsidRPr="00FE2418">
        <w:rPr>
          <w:rFonts w:ascii="Times New Roman" w:eastAsia="Times New Roman" w:hAnsi="Times New Roman" w:cs="Times New Roman"/>
          <w:b/>
          <w:bCs/>
          <w:sz w:val="24"/>
          <w:szCs w:val="24"/>
          <w:lang w:eastAsia="es-419"/>
        </w:rPr>
        <w:t>Pregunta para el foro:</w:t>
      </w:r>
      <w:r w:rsidRPr="00FE2418">
        <w:rPr>
          <w:rFonts w:ascii="Times New Roman" w:eastAsia="Times New Roman" w:hAnsi="Times New Roman" w:cs="Times New Roman"/>
          <w:sz w:val="24"/>
          <w:szCs w:val="24"/>
          <w:lang w:eastAsia="es-419"/>
        </w:rPr>
        <w:t xml:space="preserve"> </w:t>
      </w:r>
      <w:r w:rsidRPr="00FE2418">
        <w:rPr>
          <w:rFonts w:ascii="Times New Roman" w:eastAsia="Times New Roman" w:hAnsi="Times New Roman" w:cs="Times New Roman"/>
          <w:i/>
          <w:iCs/>
          <w:sz w:val="24"/>
          <w:szCs w:val="24"/>
          <w:lang w:eastAsia="es-419"/>
        </w:rPr>
        <w:t>Bajo la premisa del "negocio en marcha", ¿cuál es el mayor reto al valorar los activos de una PYME en contextos económicos de alta incertidumbre?</w:t>
      </w:r>
    </w:p>
    <w:p w:rsidR="00FE2418" w:rsidRDefault="00FE2418" w:rsidP="00FE2418">
      <w:pPr>
        <w:pStyle w:val="NormalWeb"/>
        <w:spacing w:after="0" w:afterAutospacing="0"/>
        <w:rPr>
          <w:color w:val="1F1F1F"/>
        </w:rPr>
      </w:pPr>
      <w:r>
        <w:rPr>
          <w:color w:val="1F1F1F"/>
          <w:bdr w:val="none" w:sz="0" w:space="0" w:color="auto" w:frame="1"/>
        </w:rPr>
        <w:t xml:space="preserve">Bajo la premisa del </w:t>
      </w:r>
      <w:r>
        <w:rPr>
          <w:b/>
          <w:bCs/>
          <w:color w:val="1F1F1F"/>
          <w:bdr w:val="none" w:sz="0" w:space="0" w:color="auto" w:frame="1"/>
        </w:rPr>
        <w:t>negocio en marcha</w:t>
      </w:r>
      <w:r>
        <w:rPr>
          <w:color w:val="1F1F1F"/>
          <w:bdr w:val="none" w:sz="0" w:space="0" w:color="auto" w:frame="1"/>
        </w:rPr>
        <w:t xml:space="preserve"> (hipótesis fundamental establecida en el Marco Conceptual de las VEN-NIF/NIIF para PYMES), el mayor reto al valorar los activos en contextos de alta incertidumbre —como el venezolano, caracterizado por hiperinflación, volatilidad cambiaria y crisis operativa— es la </w:t>
      </w:r>
      <w:r>
        <w:rPr>
          <w:b/>
          <w:bCs/>
          <w:color w:val="1F1F1F"/>
          <w:bdr w:val="none" w:sz="0" w:space="0" w:color="auto" w:frame="1"/>
        </w:rPr>
        <w:t>determinación del "valor recuperable" o el "valor razonable" real de los activos</w:t>
      </w:r>
      <w:r>
        <w:rPr>
          <w:color w:val="1F1F1F"/>
          <w:bdr w:val="none" w:sz="0" w:space="0" w:color="auto" w:frame="1"/>
        </w:rPr>
        <w:t>, frente a la distorsión del costo histórico.</w:t>
      </w:r>
      <w:r>
        <w:rPr>
          <w:color w:val="1F1F1F"/>
        </w:rPr>
        <w:t xml:space="preserve"> </w:t>
      </w:r>
    </w:p>
    <w:p w:rsidR="00FE2418" w:rsidRDefault="00FE2418" w:rsidP="00FE2418">
      <w:pPr>
        <w:pStyle w:val="NormalWeb"/>
        <w:spacing w:before="0" w:beforeAutospacing="0" w:after="0" w:afterAutospacing="0"/>
        <w:rPr>
          <w:color w:val="1F4E79" w:themeColor="accent1" w:themeShade="80"/>
          <w:sz w:val="20"/>
        </w:rPr>
      </w:pPr>
    </w:p>
    <w:p w:rsidR="00FE2418" w:rsidRDefault="009734C3" w:rsidP="00FE2418">
      <w:pPr>
        <w:pStyle w:val="NormalWeb"/>
        <w:spacing w:before="0" w:beforeAutospacing="0" w:after="0" w:afterAutospacing="0"/>
        <w:rPr>
          <w:color w:val="1F4E79" w:themeColor="accent1" w:themeShade="80"/>
          <w:sz w:val="20"/>
        </w:rPr>
      </w:pPr>
      <w:r>
        <w:rPr>
          <w:color w:val="1F4E79" w:themeColor="accent1" w:themeShade="80"/>
          <w:sz w:val="20"/>
        </w:rPr>
        <w:t>Aquí l</w:t>
      </w:r>
      <w:r w:rsidR="00FE2418" w:rsidRPr="00FE2418">
        <w:rPr>
          <w:color w:val="1F4E79" w:themeColor="accent1" w:themeShade="80"/>
          <w:sz w:val="20"/>
        </w:rPr>
        <w:t>e</w:t>
      </w:r>
      <w:r>
        <w:rPr>
          <w:color w:val="1F4E79" w:themeColor="accent1" w:themeShade="80"/>
          <w:sz w:val="20"/>
        </w:rPr>
        <w:t>s</w:t>
      </w:r>
      <w:r w:rsidR="00FE2418" w:rsidRPr="00FE2418">
        <w:rPr>
          <w:color w:val="1F4E79" w:themeColor="accent1" w:themeShade="80"/>
          <w:sz w:val="20"/>
        </w:rPr>
        <w:t xml:space="preserve"> detallo los tres grandes desafíos que enfrenta la gerencia y el contador al aplicar esta premisa:</w:t>
      </w:r>
    </w:p>
    <w:p w:rsidR="00FE2418" w:rsidRPr="00FE2418" w:rsidRDefault="00FE2418" w:rsidP="00FE2418">
      <w:pPr>
        <w:pStyle w:val="NormalWeb"/>
        <w:spacing w:before="0" w:beforeAutospacing="0" w:after="0" w:afterAutospacing="0"/>
        <w:rPr>
          <w:color w:val="1F4E79" w:themeColor="accent1" w:themeShade="80"/>
          <w:sz w:val="20"/>
        </w:rPr>
      </w:pPr>
    </w:p>
    <w:p w:rsidR="00FE2418" w:rsidRPr="00FE2418" w:rsidRDefault="00FE2418" w:rsidP="00FE2418">
      <w:pPr>
        <w:pStyle w:val="Ttulo3"/>
        <w:spacing w:before="0" w:beforeAutospacing="0" w:after="0" w:afterAutospacing="0"/>
        <w:rPr>
          <w:color w:val="1F4E79" w:themeColor="accent1" w:themeShade="80"/>
          <w:sz w:val="22"/>
        </w:rPr>
      </w:pPr>
      <w:r w:rsidRPr="00FE2418">
        <w:rPr>
          <w:color w:val="1F4E79" w:themeColor="accent1" w:themeShade="80"/>
          <w:sz w:val="22"/>
        </w:rPr>
        <w:t>1. El Desfase del Costo Histórico</w:t>
      </w:r>
    </w:p>
    <w:p w:rsidR="00FE2418" w:rsidRDefault="00FE2418" w:rsidP="00FE2418">
      <w:pPr>
        <w:pStyle w:val="NormalWeb"/>
        <w:spacing w:before="0" w:beforeAutospacing="0" w:after="0" w:afterAutospacing="0"/>
        <w:rPr>
          <w:color w:val="1F4E79" w:themeColor="accent1" w:themeShade="80"/>
          <w:sz w:val="20"/>
        </w:rPr>
      </w:pPr>
    </w:p>
    <w:p w:rsidR="00FE2418" w:rsidRPr="00FE2418" w:rsidRDefault="00FE2418" w:rsidP="00FE2418">
      <w:pPr>
        <w:pStyle w:val="NormalWeb"/>
        <w:spacing w:before="0" w:beforeAutospacing="0" w:after="0" w:afterAutospacing="0"/>
        <w:rPr>
          <w:color w:val="1F4E79" w:themeColor="accent1" w:themeShade="80"/>
          <w:sz w:val="20"/>
        </w:rPr>
      </w:pPr>
      <w:r w:rsidRPr="00FE2418">
        <w:rPr>
          <w:color w:val="1F4E79" w:themeColor="accent1" w:themeShade="80"/>
          <w:sz w:val="20"/>
        </w:rPr>
        <w:t>El principio de costo histórico pierde relevancia en contextos de incertidumbre.</w:t>
      </w:r>
    </w:p>
    <w:p w:rsidR="00FE2418" w:rsidRPr="00FE2418" w:rsidRDefault="00FE2418" w:rsidP="00FE2418">
      <w:pPr>
        <w:pStyle w:val="NormalWeb"/>
        <w:numPr>
          <w:ilvl w:val="0"/>
          <w:numId w:val="3"/>
        </w:numPr>
        <w:spacing w:before="0" w:beforeAutospacing="0" w:after="0" w:afterAutospacing="0"/>
        <w:ind w:left="0"/>
        <w:rPr>
          <w:color w:val="1F4E79" w:themeColor="accent1" w:themeShade="80"/>
          <w:sz w:val="20"/>
        </w:rPr>
      </w:pPr>
      <w:r w:rsidRPr="00FE2418">
        <w:rPr>
          <w:b/>
          <w:bCs/>
          <w:color w:val="1F4E79" w:themeColor="accent1" w:themeShade="80"/>
          <w:sz w:val="20"/>
          <w:bdr w:val="none" w:sz="0" w:space="0" w:color="auto" w:frame="1"/>
        </w:rPr>
        <w:t>El Reto:</w:t>
      </w:r>
      <w:r w:rsidRPr="00FE2418">
        <w:rPr>
          <w:color w:val="1F4E79" w:themeColor="accent1" w:themeShade="80"/>
          <w:sz w:val="20"/>
          <w:bdr w:val="none" w:sz="0" w:space="0" w:color="auto" w:frame="1"/>
        </w:rPr>
        <w:t xml:space="preserve"> Un activo registrado a su costo original (incluso ajustado por inflación bajo las normativas locales) puede reflejar en libros un monto significativamente superior a lo que el activo realmente vale o puede generar hoy.</w:t>
      </w:r>
      <w:r w:rsidRPr="00FE2418">
        <w:rPr>
          <w:color w:val="1F4E79" w:themeColor="accent1" w:themeShade="80"/>
          <w:sz w:val="20"/>
        </w:rPr>
        <w:t xml:space="preserve"> </w:t>
      </w:r>
    </w:p>
    <w:p w:rsidR="00FE2418" w:rsidRPr="00FE2418" w:rsidRDefault="00FE2418" w:rsidP="00FE2418">
      <w:pPr>
        <w:pStyle w:val="NormalWeb"/>
        <w:numPr>
          <w:ilvl w:val="0"/>
          <w:numId w:val="3"/>
        </w:numPr>
        <w:spacing w:before="0" w:beforeAutospacing="0" w:after="0" w:afterAutospacing="0"/>
        <w:ind w:left="0"/>
        <w:rPr>
          <w:color w:val="1F4E79" w:themeColor="accent1" w:themeShade="80"/>
          <w:sz w:val="20"/>
        </w:rPr>
      </w:pPr>
      <w:r w:rsidRPr="00FE2418">
        <w:rPr>
          <w:b/>
          <w:bCs/>
          <w:color w:val="1F4E79" w:themeColor="accent1" w:themeShade="80"/>
          <w:sz w:val="20"/>
          <w:bdr w:val="none" w:sz="0" w:space="0" w:color="auto" w:frame="1"/>
        </w:rPr>
        <w:t>Consecuencia:</w:t>
      </w:r>
      <w:r w:rsidRPr="00FE2418">
        <w:rPr>
          <w:color w:val="1F4E79" w:themeColor="accent1" w:themeShade="80"/>
          <w:sz w:val="20"/>
          <w:bdr w:val="none" w:sz="0" w:space="0" w:color="auto" w:frame="1"/>
        </w:rPr>
        <w:t xml:space="preserve"> Si la empresa no ajusta este valor, el Balance de Situación no representa la realidad financiera, violando la característica cualitativa de </w:t>
      </w:r>
      <w:r w:rsidRPr="00FE2418">
        <w:rPr>
          <w:b/>
          <w:bCs/>
          <w:color w:val="1F4E79" w:themeColor="accent1" w:themeShade="80"/>
          <w:sz w:val="20"/>
          <w:bdr w:val="none" w:sz="0" w:space="0" w:color="auto" w:frame="1"/>
        </w:rPr>
        <w:t>fiabilidad</w:t>
      </w:r>
      <w:r w:rsidRPr="00FE2418">
        <w:rPr>
          <w:color w:val="1F4E79" w:themeColor="accent1" w:themeShade="80"/>
          <w:sz w:val="20"/>
          <w:bdr w:val="none" w:sz="0" w:space="0" w:color="auto" w:frame="1"/>
        </w:rPr>
        <w:t>.</w:t>
      </w:r>
      <w:r w:rsidRPr="00FE2418">
        <w:rPr>
          <w:color w:val="1F4E79" w:themeColor="accent1" w:themeShade="80"/>
          <w:sz w:val="20"/>
        </w:rPr>
        <w:t xml:space="preserve"> </w:t>
      </w:r>
    </w:p>
    <w:p w:rsidR="00FE2418" w:rsidRDefault="00FE2418" w:rsidP="00FE2418">
      <w:pPr>
        <w:pStyle w:val="Ttulo3"/>
        <w:spacing w:before="0" w:beforeAutospacing="0" w:after="0" w:afterAutospacing="0"/>
        <w:rPr>
          <w:color w:val="1F4E79" w:themeColor="accent1" w:themeShade="80"/>
          <w:sz w:val="22"/>
        </w:rPr>
      </w:pPr>
    </w:p>
    <w:p w:rsidR="00FE2418" w:rsidRPr="00FE2418" w:rsidRDefault="00FE2418" w:rsidP="00FE2418">
      <w:pPr>
        <w:pStyle w:val="Ttulo3"/>
        <w:spacing w:before="0" w:beforeAutospacing="0" w:after="0" w:afterAutospacing="0"/>
        <w:rPr>
          <w:color w:val="1F4E79" w:themeColor="accent1" w:themeShade="80"/>
          <w:sz w:val="22"/>
        </w:rPr>
      </w:pPr>
      <w:r w:rsidRPr="00FE2418">
        <w:rPr>
          <w:color w:val="1F4E79" w:themeColor="accent1" w:themeShade="80"/>
          <w:sz w:val="22"/>
        </w:rPr>
        <w:t>2. La Dificultad para estimar el Valor Recuperable (Deterioro)</w:t>
      </w:r>
    </w:p>
    <w:p w:rsidR="00FE2418" w:rsidRDefault="00FE2418" w:rsidP="00FE2418">
      <w:pPr>
        <w:pStyle w:val="NormalWeb"/>
        <w:spacing w:before="0" w:beforeAutospacing="0" w:after="0" w:afterAutospacing="0"/>
        <w:rPr>
          <w:color w:val="1F4E79" w:themeColor="accent1" w:themeShade="80"/>
          <w:sz w:val="20"/>
        </w:rPr>
      </w:pPr>
    </w:p>
    <w:p w:rsidR="00FE2418" w:rsidRPr="00FE2418" w:rsidRDefault="00FE2418" w:rsidP="00FE2418">
      <w:pPr>
        <w:pStyle w:val="NormalWeb"/>
        <w:spacing w:before="0" w:beforeAutospacing="0" w:after="0" w:afterAutospacing="0"/>
        <w:rPr>
          <w:color w:val="1F4E79" w:themeColor="accent1" w:themeShade="80"/>
          <w:sz w:val="20"/>
        </w:rPr>
      </w:pPr>
      <w:r w:rsidRPr="00FE2418">
        <w:rPr>
          <w:color w:val="1F4E79" w:themeColor="accent1" w:themeShade="80"/>
          <w:sz w:val="20"/>
        </w:rPr>
        <w:t>Cuando la incertidumbre es alta, las proyecciones de flujo de caja futuro se vuelven especulativas.</w:t>
      </w:r>
    </w:p>
    <w:p w:rsidR="00FE2418" w:rsidRPr="00FE2418" w:rsidRDefault="00FE2418" w:rsidP="00FE2418">
      <w:pPr>
        <w:pStyle w:val="NormalWeb"/>
        <w:numPr>
          <w:ilvl w:val="0"/>
          <w:numId w:val="4"/>
        </w:numPr>
        <w:spacing w:before="0" w:beforeAutospacing="0" w:after="0" w:afterAutospacing="0"/>
        <w:ind w:left="0"/>
        <w:rPr>
          <w:color w:val="1F4E79" w:themeColor="accent1" w:themeShade="80"/>
          <w:sz w:val="20"/>
        </w:rPr>
      </w:pPr>
      <w:r w:rsidRPr="00FE2418">
        <w:rPr>
          <w:b/>
          <w:bCs/>
          <w:color w:val="1F4E79" w:themeColor="accent1" w:themeShade="80"/>
          <w:sz w:val="20"/>
          <w:bdr w:val="none" w:sz="0" w:space="0" w:color="auto" w:frame="1"/>
        </w:rPr>
        <w:t>El Reto:</w:t>
      </w:r>
      <w:r w:rsidRPr="00FE2418">
        <w:rPr>
          <w:color w:val="1F4E79" w:themeColor="accent1" w:themeShade="80"/>
          <w:sz w:val="20"/>
          <w:bdr w:val="none" w:sz="0" w:space="0" w:color="auto" w:frame="1"/>
        </w:rPr>
        <w:t xml:space="preserve"> La norma exige realizar pruebas de deterioro (</w:t>
      </w:r>
      <w:proofErr w:type="spellStart"/>
      <w:r w:rsidRPr="00FE2418">
        <w:rPr>
          <w:i/>
          <w:iCs/>
          <w:color w:val="1F4E79" w:themeColor="accent1" w:themeShade="80"/>
          <w:sz w:val="20"/>
          <w:bdr w:val="none" w:sz="0" w:space="0" w:color="auto" w:frame="1"/>
        </w:rPr>
        <w:t>impairment</w:t>
      </w:r>
      <w:proofErr w:type="spellEnd"/>
      <w:r w:rsidRPr="00FE2418">
        <w:rPr>
          <w:color w:val="1F4E79" w:themeColor="accent1" w:themeShade="80"/>
          <w:sz w:val="20"/>
          <w:bdr w:val="none" w:sz="0" w:space="0" w:color="auto" w:frame="1"/>
        </w:rPr>
        <w:t>) si existen indicios de que un activo ha perdido valor. Sin embargo, en un entorno volátil, ¿cómo proyectar con certeza cuánto efectivo generará una maquinaria o un local en los próximos 3 o 5 años?</w:t>
      </w:r>
      <w:r w:rsidRPr="00FE2418">
        <w:rPr>
          <w:color w:val="1F4E79" w:themeColor="accent1" w:themeShade="80"/>
          <w:sz w:val="20"/>
        </w:rPr>
        <w:t xml:space="preserve"> </w:t>
      </w:r>
    </w:p>
    <w:p w:rsidR="00FE2418" w:rsidRPr="00FE2418" w:rsidRDefault="00FE2418" w:rsidP="00FE2418">
      <w:pPr>
        <w:pStyle w:val="NormalWeb"/>
        <w:numPr>
          <w:ilvl w:val="0"/>
          <w:numId w:val="4"/>
        </w:numPr>
        <w:spacing w:before="0" w:beforeAutospacing="0" w:after="0" w:afterAutospacing="0"/>
        <w:ind w:left="0"/>
        <w:rPr>
          <w:color w:val="1F4E79" w:themeColor="accent1" w:themeShade="80"/>
          <w:sz w:val="20"/>
        </w:rPr>
      </w:pPr>
      <w:r w:rsidRPr="00FE2418">
        <w:rPr>
          <w:b/>
          <w:bCs/>
          <w:color w:val="1F4E79" w:themeColor="accent1" w:themeShade="80"/>
          <w:sz w:val="20"/>
          <w:bdr w:val="none" w:sz="0" w:space="0" w:color="auto" w:frame="1"/>
        </w:rPr>
        <w:t>Consecuencia:</w:t>
      </w:r>
      <w:r w:rsidRPr="00FE2418">
        <w:rPr>
          <w:color w:val="1F4E79" w:themeColor="accent1" w:themeShade="80"/>
          <w:sz w:val="20"/>
          <w:bdr w:val="none" w:sz="0" w:space="0" w:color="auto" w:frame="1"/>
        </w:rPr>
        <w:t xml:space="preserve"> Existe un alto riesgo de sobreestimar el valor de los activos. Si la gerencia es demasiado optimista (o demasiado pesimista) en sus proyecciones de ingresos futuros, el valor del activo en libros estará mal medido, engañando a los usuarios de la información.</w:t>
      </w:r>
      <w:r w:rsidRPr="00FE2418">
        <w:rPr>
          <w:color w:val="1F4E79" w:themeColor="accent1" w:themeShade="80"/>
          <w:sz w:val="20"/>
        </w:rPr>
        <w:t xml:space="preserve"> </w:t>
      </w:r>
    </w:p>
    <w:p w:rsidR="00FE2418" w:rsidRDefault="00FE2418" w:rsidP="00FE2418">
      <w:pPr>
        <w:pStyle w:val="Ttulo3"/>
        <w:spacing w:before="0" w:beforeAutospacing="0" w:after="0" w:afterAutospacing="0"/>
        <w:rPr>
          <w:color w:val="1F4E79" w:themeColor="accent1" w:themeShade="80"/>
          <w:sz w:val="22"/>
        </w:rPr>
      </w:pPr>
    </w:p>
    <w:p w:rsidR="00FE2418" w:rsidRPr="00FE2418" w:rsidRDefault="00FE2418" w:rsidP="00FE2418">
      <w:pPr>
        <w:pStyle w:val="Ttulo3"/>
        <w:spacing w:before="0" w:beforeAutospacing="0" w:after="0" w:afterAutospacing="0"/>
        <w:rPr>
          <w:color w:val="1F4E79" w:themeColor="accent1" w:themeShade="80"/>
          <w:sz w:val="22"/>
        </w:rPr>
      </w:pPr>
      <w:r w:rsidRPr="00FE2418">
        <w:rPr>
          <w:color w:val="1F4E79" w:themeColor="accent1" w:themeShade="80"/>
          <w:sz w:val="22"/>
        </w:rPr>
        <w:t>3. La "Prudencia" frente a la "Continuidad"</w:t>
      </w:r>
    </w:p>
    <w:p w:rsidR="00FE2418" w:rsidRDefault="00FE2418" w:rsidP="00FE2418">
      <w:pPr>
        <w:pStyle w:val="NormalWeb"/>
        <w:spacing w:before="0" w:beforeAutospacing="0" w:after="0" w:afterAutospacing="0"/>
        <w:rPr>
          <w:color w:val="1F4E79" w:themeColor="accent1" w:themeShade="80"/>
          <w:sz w:val="20"/>
        </w:rPr>
      </w:pPr>
    </w:p>
    <w:p w:rsidR="00FE2418" w:rsidRPr="00FE2418" w:rsidRDefault="00FE2418" w:rsidP="00FE2418">
      <w:pPr>
        <w:pStyle w:val="NormalWeb"/>
        <w:spacing w:before="0" w:beforeAutospacing="0" w:after="0" w:afterAutospacing="0"/>
        <w:rPr>
          <w:color w:val="1F4E79" w:themeColor="accent1" w:themeShade="80"/>
          <w:sz w:val="20"/>
        </w:rPr>
      </w:pPr>
      <w:r w:rsidRPr="00FE2418">
        <w:rPr>
          <w:color w:val="1F4E79" w:themeColor="accent1" w:themeShade="80"/>
          <w:sz w:val="20"/>
        </w:rPr>
        <w:t>El principio de prudencia (</w:t>
      </w:r>
      <w:r w:rsidRPr="00FE2418">
        <w:rPr>
          <w:i/>
          <w:iCs/>
          <w:color w:val="1F4E79" w:themeColor="accent1" w:themeShade="80"/>
          <w:sz w:val="20"/>
          <w:bdr w:val="none" w:sz="0" w:space="0" w:color="auto" w:frame="1"/>
        </w:rPr>
        <w:t>conservadurismo</w:t>
      </w:r>
      <w:r w:rsidRPr="00FE2418">
        <w:rPr>
          <w:color w:val="1F4E79" w:themeColor="accent1" w:themeShade="80"/>
          <w:sz w:val="20"/>
        </w:rPr>
        <w:t>) choca con la premisa de negocio en marcha.</w:t>
      </w:r>
    </w:p>
    <w:p w:rsidR="00FE2418" w:rsidRPr="00FE2418" w:rsidRDefault="00FE2418" w:rsidP="00FE2418">
      <w:pPr>
        <w:pStyle w:val="NormalWeb"/>
        <w:numPr>
          <w:ilvl w:val="0"/>
          <w:numId w:val="5"/>
        </w:numPr>
        <w:spacing w:before="0" w:beforeAutospacing="0" w:after="0" w:afterAutospacing="0"/>
        <w:ind w:left="0"/>
        <w:rPr>
          <w:color w:val="1F4E79" w:themeColor="accent1" w:themeShade="80"/>
          <w:sz w:val="20"/>
        </w:rPr>
      </w:pPr>
      <w:r w:rsidRPr="00FE2418">
        <w:rPr>
          <w:b/>
          <w:bCs/>
          <w:color w:val="1F4E79" w:themeColor="accent1" w:themeShade="80"/>
          <w:sz w:val="20"/>
          <w:bdr w:val="none" w:sz="0" w:space="0" w:color="auto" w:frame="1"/>
        </w:rPr>
        <w:t>El Reto:</w:t>
      </w:r>
      <w:r w:rsidRPr="00FE2418">
        <w:rPr>
          <w:color w:val="1F4E79" w:themeColor="accent1" w:themeShade="80"/>
          <w:sz w:val="20"/>
          <w:bdr w:val="none" w:sz="0" w:space="0" w:color="auto" w:frame="1"/>
        </w:rPr>
        <w:t xml:space="preserve"> El contador debe mantener un equilibrio difícil: debe ser lo suficientemente prudente para reconocer pérdidas por valor si la incertidumbre pone en riesgo la operación, pero no tan pesimista que sugiera que el negocio va a cerrar (lo cual invalidaría la premisa de "negocio en marcha" y obligaría a valorar todo a "valor de liquidación", que es mucho menor).</w:t>
      </w:r>
      <w:r w:rsidRPr="00FE2418">
        <w:rPr>
          <w:color w:val="1F4E79" w:themeColor="accent1" w:themeShade="80"/>
          <w:sz w:val="20"/>
        </w:rPr>
        <w:t xml:space="preserve"> </w:t>
      </w:r>
    </w:p>
    <w:p w:rsidR="00FE2418" w:rsidRPr="00FE2418" w:rsidRDefault="00FE2418" w:rsidP="00FE2418">
      <w:pPr>
        <w:pStyle w:val="NormalWeb"/>
        <w:numPr>
          <w:ilvl w:val="0"/>
          <w:numId w:val="5"/>
        </w:numPr>
        <w:spacing w:before="0" w:beforeAutospacing="0" w:after="0" w:afterAutospacing="0"/>
        <w:ind w:left="0"/>
        <w:rPr>
          <w:color w:val="1F4E79" w:themeColor="accent1" w:themeShade="80"/>
          <w:sz w:val="20"/>
        </w:rPr>
      </w:pPr>
      <w:r w:rsidRPr="00FE2418">
        <w:rPr>
          <w:b/>
          <w:bCs/>
          <w:color w:val="1F4E79" w:themeColor="accent1" w:themeShade="80"/>
          <w:sz w:val="20"/>
          <w:bdr w:val="none" w:sz="0" w:space="0" w:color="auto" w:frame="1"/>
        </w:rPr>
        <w:t>Consecuencia:</w:t>
      </w:r>
      <w:r w:rsidRPr="00FE2418">
        <w:rPr>
          <w:color w:val="1F4E79" w:themeColor="accent1" w:themeShade="80"/>
          <w:sz w:val="20"/>
          <w:bdr w:val="none" w:sz="0" w:space="0" w:color="auto" w:frame="1"/>
        </w:rPr>
        <w:t xml:space="preserve"> Este es un juicio profesional crítico. Si se decreta erróneamente que la empresa no es un negocio en marcha, los valores de los activos caen drásticamente porque se asume que deben venderse "a precio de remate".</w:t>
      </w:r>
      <w:r w:rsidRPr="00FE2418">
        <w:rPr>
          <w:color w:val="1F4E79" w:themeColor="accent1" w:themeShade="80"/>
          <w:sz w:val="20"/>
        </w:rPr>
        <w:t xml:space="preserve"> </w:t>
      </w:r>
    </w:p>
    <w:p w:rsidR="00FE2418" w:rsidRPr="00FE2418" w:rsidRDefault="00FE2418" w:rsidP="00FE2418">
      <w:pPr>
        <w:pStyle w:val="Ttulo3"/>
        <w:spacing w:before="0" w:beforeAutospacing="0" w:after="0" w:afterAutospacing="0"/>
        <w:rPr>
          <w:color w:val="1F4E79" w:themeColor="accent1" w:themeShade="80"/>
          <w:sz w:val="22"/>
        </w:rPr>
      </w:pPr>
      <w:r w:rsidRPr="00FE2418">
        <w:rPr>
          <w:color w:val="1F4E79" w:themeColor="accent1" w:themeShade="80"/>
          <w:sz w:val="22"/>
        </w:rPr>
        <w:t>¿Qué dicen las normas al respecto?</w:t>
      </w:r>
    </w:p>
    <w:p w:rsidR="00FE2418" w:rsidRPr="00FE2418" w:rsidRDefault="00FE2418" w:rsidP="00FE2418">
      <w:pPr>
        <w:pStyle w:val="NormalWeb"/>
        <w:numPr>
          <w:ilvl w:val="0"/>
          <w:numId w:val="6"/>
        </w:numPr>
        <w:spacing w:before="0" w:beforeAutospacing="0" w:after="0" w:afterAutospacing="0"/>
        <w:ind w:left="0"/>
        <w:rPr>
          <w:color w:val="1F4E79" w:themeColor="accent1" w:themeShade="80"/>
          <w:sz w:val="20"/>
        </w:rPr>
      </w:pPr>
      <w:r w:rsidRPr="00FE2418">
        <w:rPr>
          <w:b/>
          <w:bCs/>
          <w:color w:val="1F4E79" w:themeColor="accent1" w:themeShade="80"/>
          <w:sz w:val="20"/>
          <w:bdr w:val="none" w:sz="0" w:space="0" w:color="auto" w:frame="1"/>
        </w:rPr>
        <w:t>VEN-NIF PYME (Sección 2):</w:t>
      </w:r>
      <w:r w:rsidRPr="00FE2418">
        <w:rPr>
          <w:color w:val="1F4E79" w:themeColor="accent1" w:themeShade="80"/>
          <w:sz w:val="20"/>
          <w:bdr w:val="none" w:sz="0" w:space="0" w:color="auto" w:frame="1"/>
        </w:rPr>
        <w:t xml:space="preserve"> Establece que los activos deben reconocerse solo si es probable que se obtengan beneficios económicos futuros. En contextos de incertidumbre, esta "probabilidad" es el punto donde el contador debe ejercer mayor escepticismo profesional.</w:t>
      </w:r>
      <w:r w:rsidRPr="00FE2418">
        <w:rPr>
          <w:color w:val="1F4E79" w:themeColor="accent1" w:themeShade="80"/>
          <w:sz w:val="20"/>
        </w:rPr>
        <w:t xml:space="preserve"> </w:t>
      </w:r>
    </w:p>
    <w:p w:rsidR="00FE2418" w:rsidRPr="00FE2418" w:rsidRDefault="00FE2418" w:rsidP="00FE2418">
      <w:pPr>
        <w:pStyle w:val="NormalWeb"/>
        <w:numPr>
          <w:ilvl w:val="0"/>
          <w:numId w:val="6"/>
        </w:numPr>
        <w:spacing w:before="0" w:beforeAutospacing="0" w:after="0" w:afterAutospacing="0"/>
        <w:ind w:left="0"/>
        <w:rPr>
          <w:color w:val="1F4E79" w:themeColor="accent1" w:themeShade="80"/>
          <w:sz w:val="20"/>
        </w:rPr>
      </w:pPr>
      <w:r w:rsidRPr="00FE2418">
        <w:rPr>
          <w:b/>
          <w:bCs/>
          <w:color w:val="1F4E79" w:themeColor="accent1" w:themeShade="80"/>
          <w:sz w:val="20"/>
          <w:bdr w:val="none" w:sz="0" w:space="0" w:color="auto" w:frame="1"/>
        </w:rPr>
        <w:t>NIAS (Norma Internacional de Auditoría 570):</w:t>
      </w:r>
      <w:r w:rsidRPr="00FE2418">
        <w:rPr>
          <w:color w:val="1F4E79" w:themeColor="accent1" w:themeShade="80"/>
          <w:sz w:val="20"/>
          <w:bdr w:val="none" w:sz="0" w:space="0" w:color="auto" w:frame="1"/>
        </w:rPr>
        <w:t xml:space="preserve"> La responsabilidad recae fuertemente sobre la gerencia para evaluar constantemente si existen "incertidumbres materiales" que arrojen dudas sobre la continuidad del negocio. Si existen, deben revelarse claramente en las </w:t>
      </w:r>
      <w:r w:rsidRPr="00FE2418">
        <w:rPr>
          <w:b/>
          <w:bCs/>
          <w:color w:val="1F4E79" w:themeColor="accent1" w:themeShade="80"/>
          <w:sz w:val="20"/>
          <w:bdr w:val="none" w:sz="0" w:space="0" w:color="auto" w:frame="1"/>
        </w:rPr>
        <w:t>Notas a los Estados Financieros</w:t>
      </w:r>
      <w:r w:rsidRPr="00FE2418">
        <w:rPr>
          <w:color w:val="1F4E79" w:themeColor="accent1" w:themeShade="80"/>
          <w:sz w:val="20"/>
          <w:bdr w:val="none" w:sz="0" w:space="0" w:color="auto" w:frame="1"/>
        </w:rPr>
        <w:t>.</w:t>
      </w:r>
      <w:r w:rsidRPr="00FE2418">
        <w:rPr>
          <w:color w:val="1F4E79" w:themeColor="accent1" w:themeShade="80"/>
          <w:sz w:val="20"/>
        </w:rPr>
        <w:t xml:space="preserve"> </w:t>
      </w:r>
    </w:p>
    <w:p w:rsidR="00FE2418" w:rsidRPr="00FE2418" w:rsidRDefault="00FE2418" w:rsidP="00FE2418">
      <w:pPr>
        <w:pStyle w:val="NormalWeb"/>
        <w:spacing w:before="0" w:beforeAutospacing="0" w:after="0" w:afterAutospacing="0"/>
        <w:rPr>
          <w:color w:val="1F4E79" w:themeColor="accent1" w:themeShade="80"/>
          <w:sz w:val="20"/>
        </w:rPr>
      </w:pPr>
      <w:r w:rsidRPr="00FE2418">
        <w:rPr>
          <w:b/>
          <w:bCs/>
          <w:color w:val="1F4E79" w:themeColor="accent1" w:themeShade="80"/>
          <w:sz w:val="20"/>
          <w:bdr w:val="none" w:sz="0" w:space="0" w:color="auto" w:frame="1"/>
        </w:rPr>
        <w:t>En resumen:</w:t>
      </w:r>
      <w:r w:rsidRPr="00FE2418">
        <w:rPr>
          <w:color w:val="1F4E79" w:themeColor="accent1" w:themeShade="80"/>
          <w:sz w:val="20"/>
          <w:bdr w:val="none" w:sz="0" w:space="0" w:color="auto" w:frame="1"/>
        </w:rPr>
        <w:t xml:space="preserve"> El reto no es solo contable, es </w:t>
      </w:r>
      <w:r w:rsidRPr="00FE2418">
        <w:rPr>
          <w:b/>
          <w:bCs/>
          <w:color w:val="1F4E79" w:themeColor="accent1" w:themeShade="80"/>
          <w:sz w:val="20"/>
          <w:bdr w:val="none" w:sz="0" w:space="0" w:color="auto" w:frame="1"/>
        </w:rPr>
        <w:t>estratégico</w:t>
      </w:r>
      <w:r w:rsidRPr="00FE2418">
        <w:rPr>
          <w:color w:val="1F4E79" w:themeColor="accent1" w:themeShade="80"/>
          <w:sz w:val="20"/>
          <w:bdr w:val="none" w:sz="0" w:space="0" w:color="auto" w:frame="1"/>
        </w:rPr>
        <w:t>. La gerencia debe usar los activos como herramientas de supervivencia, pero la contabilidad debe ser lo suficientemente honesta para reflejar que, en entornos inciertos, el valor de esos activos depende más de la capacidad operativa futura de la empresa que de lo que costaron originalmente.</w:t>
      </w:r>
      <w:r w:rsidRPr="00FE2418">
        <w:rPr>
          <w:color w:val="1F4E79" w:themeColor="accent1" w:themeShade="80"/>
          <w:sz w:val="20"/>
        </w:rPr>
        <w:t xml:space="preserve"> </w:t>
      </w:r>
    </w:p>
    <w:p w:rsidR="00FE2418" w:rsidRDefault="00FE2418" w:rsidP="00FE2418">
      <w:pPr>
        <w:spacing w:after="0" w:line="240" w:lineRule="auto"/>
        <w:rPr>
          <w:rFonts w:ascii="Times New Roman" w:eastAsia="Times New Roman" w:hAnsi="Times New Roman" w:cs="Times New Roman"/>
          <w:sz w:val="24"/>
          <w:szCs w:val="24"/>
          <w:lang w:eastAsia="es-419"/>
        </w:rPr>
      </w:pPr>
    </w:p>
    <w:p w:rsidR="00FE2418" w:rsidRDefault="00FE2418" w:rsidP="00FE2418">
      <w:pPr>
        <w:spacing w:after="0" w:line="240" w:lineRule="auto"/>
        <w:rPr>
          <w:rFonts w:ascii="Times New Roman" w:eastAsia="Times New Roman" w:hAnsi="Times New Roman" w:cs="Times New Roman"/>
          <w:sz w:val="24"/>
          <w:szCs w:val="24"/>
          <w:lang w:eastAsia="es-419"/>
        </w:rPr>
      </w:pPr>
    </w:p>
    <w:p w:rsidR="00FE2418" w:rsidRPr="00FE2418" w:rsidRDefault="00FE2418" w:rsidP="00FE2418">
      <w:pPr>
        <w:spacing w:after="0" w:line="240" w:lineRule="auto"/>
        <w:rPr>
          <w:rFonts w:ascii="Times New Roman" w:eastAsia="Times New Roman" w:hAnsi="Times New Roman" w:cs="Times New Roman"/>
          <w:sz w:val="24"/>
          <w:szCs w:val="24"/>
          <w:lang w:eastAsia="es-419"/>
        </w:rPr>
      </w:pPr>
    </w:p>
    <w:p w:rsidR="00FE2418" w:rsidRPr="00FE2418" w:rsidRDefault="000972BD" w:rsidP="00FE2418">
      <w:pPr>
        <w:spacing w:after="0" w:line="240" w:lineRule="auto"/>
        <w:rPr>
          <w:rFonts w:ascii="Times New Roman" w:eastAsia="Times New Roman" w:hAnsi="Times New Roman" w:cs="Times New Roman"/>
          <w:sz w:val="24"/>
          <w:szCs w:val="24"/>
          <w:lang w:eastAsia="es-419"/>
        </w:rPr>
      </w:pPr>
      <w:r>
        <w:rPr>
          <w:rFonts w:ascii="Times New Roman" w:eastAsia="Times New Roman" w:hAnsi="Times New Roman" w:cs="Times New Roman"/>
          <w:sz w:val="24"/>
          <w:szCs w:val="24"/>
          <w:lang w:eastAsia="es-419"/>
        </w:rPr>
        <w:pict>
          <v:rect id="_x0000_i1026" style="width:0;height:1.5pt" o:hralign="center" o:hrstd="t" o:hr="t" fillcolor="#a0a0a0" stroked="f"/>
        </w:pict>
      </w:r>
    </w:p>
    <w:p w:rsidR="00FE2418" w:rsidRPr="00FE2418" w:rsidRDefault="00FE2418" w:rsidP="00FE2418">
      <w:pPr>
        <w:spacing w:after="0" w:line="240" w:lineRule="auto"/>
        <w:rPr>
          <w:rFonts w:ascii="Times New Roman" w:eastAsia="Times New Roman" w:hAnsi="Times New Roman" w:cs="Times New Roman"/>
          <w:sz w:val="24"/>
          <w:szCs w:val="24"/>
          <w:lang w:eastAsia="es-419"/>
        </w:rPr>
      </w:pPr>
      <w:r w:rsidRPr="00FE2418">
        <w:rPr>
          <w:rFonts w:ascii="Segoe UI Symbol" w:eastAsia="Times New Roman" w:hAnsi="Segoe UI Symbol" w:cs="Segoe UI Symbol"/>
          <w:sz w:val="24"/>
          <w:szCs w:val="24"/>
          <w:lang w:eastAsia="es-419"/>
        </w:rPr>
        <w:lastRenderedPageBreak/>
        <w:t>📌</w:t>
      </w:r>
      <w:r w:rsidRPr="00FE2418">
        <w:rPr>
          <w:rFonts w:ascii="Times New Roman" w:eastAsia="Times New Roman" w:hAnsi="Times New Roman" w:cs="Times New Roman"/>
          <w:sz w:val="24"/>
          <w:szCs w:val="24"/>
          <w:lang w:eastAsia="es-419"/>
        </w:rPr>
        <w:t xml:space="preserve"> Mensaje 3 (Lámina 3): Unidad 3 - Libros Contables Obligatorios y Voluntarios</w:t>
      </w:r>
    </w:p>
    <w:p w:rsidR="00FE2418" w:rsidRPr="00FE2418" w:rsidRDefault="00FE2418" w:rsidP="00FE2418">
      <w:pPr>
        <w:spacing w:after="0" w:line="240" w:lineRule="auto"/>
        <w:rPr>
          <w:rFonts w:ascii="Times New Roman" w:eastAsia="Times New Roman" w:hAnsi="Times New Roman" w:cs="Times New Roman"/>
          <w:sz w:val="24"/>
          <w:szCs w:val="24"/>
          <w:lang w:eastAsia="es-419"/>
        </w:rPr>
      </w:pPr>
      <w:r w:rsidRPr="00FE2418">
        <w:rPr>
          <w:rFonts w:ascii="Times New Roman" w:eastAsia="Times New Roman" w:hAnsi="Times New Roman" w:cs="Times New Roman"/>
          <w:b/>
          <w:bCs/>
          <w:sz w:val="24"/>
          <w:szCs w:val="24"/>
          <w:lang w:eastAsia="es-419"/>
        </w:rPr>
        <w:t>Fundamentación Teórica:</w:t>
      </w:r>
      <w:r w:rsidRPr="00FE2418">
        <w:rPr>
          <w:rFonts w:ascii="Times New Roman" w:eastAsia="Times New Roman" w:hAnsi="Times New Roman" w:cs="Times New Roman"/>
          <w:sz w:val="24"/>
          <w:szCs w:val="24"/>
          <w:lang w:eastAsia="es-419"/>
        </w:rPr>
        <w:t xml:space="preserve"> El acatamiento de las obligaciones legales se sustenta en la teoría de los deberes formales. Autores como </w:t>
      </w:r>
      <w:r w:rsidRPr="00FE2418">
        <w:rPr>
          <w:rFonts w:ascii="Times New Roman" w:eastAsia="Times New Roman" w:hAnsi="Times New Roman" w:cs="Times New Roman"/>
          <w:b/>
          <w:bCs/>
          <w:sz w:val="24"/>
          <w:szCs w:val="24"/>
          <w:lang w:eastAsia="es-419"/>
        </w:rPr>
        <w:t>Sanmiguel (2006)</w:t>
      </w:r>
      <w:r w:rsidRPr="00FE2418">
        <w:rPr>
          <w:rFonts w:ascii="Times New Roman" w:eastAsia="Times New Roman" w:hAnsi="Times New Roman" w:cs="Times New Roman"/>
          <w:sz w:val="24"/>
          <w:szCs w:val="24"/>
          <w:lang w:eastAsia="es-419"/>
        </w:rPr>
        <w:t xml:space="preserve"> y </w:t>
      </w:r>
      <w:proofErr w:type="spellStart"/>
      <w:r w:rsidRPr="00FE2418">
        <w:rPr>
          <w:rFonts w:ascii="Times New Roman" w:eastAsia="Times New Roman" w:hAnsi="Times New Roman" w:cs="Times New Roman"/>
          <w:b/>
          <w:bCs/>
          <w:sz w:val="24"/>
          <w:szCs w:val="24"/>
          <w:lang w:eastAsia="es-419"/>
        </w:rPr>
        <w:t>Jarach</w:t>
      </w:r>
      <w:proofErr w:type="spellEnd"/>
      <w:r w:rsidRPr="00FE2418">
        <w:rPr>
          <w:rFonts w:ascii="Times New Roman" w:eastAsia="Times New Roman" w:hAnsi="Times New Roman" w:cs="Times New Roman"/>
          <w:b/>
          <w:bCs/>
          <w:sz w:val="24"/>
          <w:szCs w:val="24"/>
          <w:lang w:eastAsia="es-419"/>
        </w:rPr>
        <w:t xml:space="preserve"> (2007)</w:t>
      </w:r>
      <w:r w:rsidRPr="00FE2418">
        <w:rPr>
          <w:rFonts w:ascii="Times New Roman" w:eastAsia="Times New Roman" w:hAnsi="Times New Roman" w:cs="Times New Roman"/>
          <w:sz w:val="24"/>
          <w:szCs w:val="24"/>
          <w:lang w:eastAsia="es-419"/>
        </w:rPr>
        <w:t xml:space="preserve"> definen los deberes formales como los reglamentos impuestos por el Estado para las tareas de determinación y fiscalización de los contribuyentes. A nivel mercantil, el </w:t>
      </w:r>
      <w:r w:rsidRPr="00FE2418">
        <w:rPr>
          <w:rFonts w:ascii="Times New Roman" w:eastAsia="Times New Roman" w:hAnsi="Times New Roman" w:cs="Times New Roman"/>
          <w:b/>
          <w:bCs/>
          <w:sz w:val="24"/>
          <w:szCs w:val="24"/>
          <w:lang w:eastAsia="es-419"/>
        </w:rPr>
        <w:t>artículo 32 del Código de Comercio</w:t>
      </w:r>
      <w:r w:rsidRPr="00FE2418">
        <w:rPr>
          <w:rFonts w:ascii="Times New Roman" w:eastAsia="Times New Roman" w:hAnsi="Times New Roman" w:cs="Times New Roman"/>
          <w:sz w:val="24"/>
          <w:szCs w:val="24"/>
          <w:lang w:eastAsia="es-419"/>
        </w:rPr>
        <w:t xml:space="preserve"> de Venezuela consagra la obligatoriedad de llevar la contabilidad en idioma castellano a través del Libro Diario, Libro Mayor y el Libro de Inventarios, permitiendo además el uso de libros auxiliares voluntarios para mayor orden y claridad.</w:t>
      </w:r>
    </w:p>
    <w:p w:rsidR="00FE2418" w:rsidRDefault="00FE2418" w:rsidP="00FE2418">
      <w:pPr>
        <w:spacing w:after="0" w:line="240" w:lineRule="auto"/>
        <w:rPr>
          <w:rFonts w:ascii="Times New Roman" w:eastAsia="Times New Roman" w:hAnsi="Times New Roman" w:cs="Times New Roman"/>
          <w:i/>
          <w:iCs/>
          <w:sz w:val="24"/>
          <w:szCs w:val="24"/>
          <w:lang w:eastAsia="es-419"/>
        </w:rPr>
      </w:pPr>
      <w:r w:rsidRPr="00FE2418">
        <w:rPr>
          <w:rFonts w:ascii="Segoe UI Symbol" w:eastAsia="Times New Roman" w:hAnsi="Segoe UI Symbol" w:cs="Segoe UI Symbol"/>
          <w:sz w:val="24"/>
          <w:szCs w:val="24"/>
          <w:lang w:eastAsia="es-419"/>
        </w:rPr>
        <w:t>🗣</w:t>
      </w:r>
      <w:r w:rsidRPr="00FE2418">
        <w:rPr>
          <w:rFonts w:ascii="Times New Roman" w:eastAsia="Times New Roman" w:hAnsi="Times New Roman" w:cs="Times New Roman"/>
          <w:sz w:val="24"/>
          <w:szCs w:val="24"/>
          <w:lang w:eastAsia="es-419"/>
        </w:rPr>
        <w:t xml:space="preserve"> </w:t>
      </w:r>
      <w:r w:rsidRPr="00FE2418">
        <w:rPr>
          <w:rFonts w:ascii="Times New Roman" w:eastAsia="Times New Roman" w:hAnsi="Times New Roman" w:cs="Times New Roman"/>
          <w:b/>
          <w:bCs/>
          <w:sz w:val="24"/>
          <w:szCs w:val="24"/>
          <w:lang w:eastAsia="es-419"/>
        </w:rPr>
        <w:t>Pregunta para el foro:</w:t>
      </w:r>
      <w:r w:rsidRPr="00FE2418">
        <w:rPr>
          <w:rFonts w:ascii="Times New Roman" w:eastAsia="Times New Roman" w:hAnsi="Times New Roman" w:cs="Times New Roman"/>
          <w:sz w:val="24"/>
          <w:szCs w:val="24"/>
          <w:lang w:eastAsia="es-419"/>
        </w:rPr>
        <w:t xml:space="preserve"> </w:t>
      </w:r>
      <w:r w:rsidRPr="00FE2418">
        <w:rPr>
          <w:rFonts w:ascii="Times New Roman" w:eastAsia="Times New Roman" w:hAnsi="Times New Roman" w:cs="Times New Roman"/>
          <w:i/>
          <w:iCs/>
          <w:sz w:val="24"/>
          <w:szCs w:val="24"/>
          <w:lang w:eastAsia="es-419"/>
        </w:rPr>
        <w:t xml:space="preserve">Basándonos en las definiciones de Sanmiguel y </w:t>
      </w:r>
      <w:proofErr w:type="spellStart"/>
      <w:r w:rsidRPr="00FE2418">
        <w:rPr>
          <w:rFonts w:ascii="Times New Roman" w:eastAsia="Times New Roman" w:hAnsi="Times New Roman" w:cs="Times New Roman"/>
          <w:i/>
          <w:iCs/>
          <w:sz w:val="24"/>
          <w:szCs w:val="24"/>
          <w:lang w:eastAsia="es-419"/>
        </w:rPr>
        <w:t>Jarach</w:t>
      </w:r>
      <w:proofErr w:type="spellEnd"/>
      <w:r w:rsidRPr="00FE2418">
        <w:rPr>
          <w:rFonts w:ascii="Times New Roman" w:eastAsia="Times New Roman" w:hAnsi="Times New Roman" w:cs="Times New Roman"/>
          <w:i/>
          <w:iCs/>
          <w:sz w:val="24"/>
          <w:szCs w:val="24"/>
          <w:lang w:eastAsia="es-419"/>
        </w:rPr>
        <w:t>, ¿hasta qué punto el no llevar libros auxiliares adecuados puede afectar la determinación de los tributos frente al SENIAT, aunque tengamos los libros obligatorios?</w:t>
      </w:r>
    </w:p>
    <w:p w:rsidR="00660402" w:rsidRPr="00660402" w:rsidRDefault="00660402" w:rsidP="00660402">
      <w:pPr>
        <w:pStyle w:val="NormalWeb"/>
        <w:spacing w:before="0" w:beforeAutospacing="0" w:after="120" w:afterAutospacing="0"/>
        <w:rPr>
          <w:color w:val="1F4E79" w:themeColor="accent1" w:themeShade="80"/>
          <w:sz w:val="20"/>
        </w:rPr>
      </w:pPr>
      <w:r w:rsidRPr="00660402">
        <w:rPr>
          <w:color w:val="1F4E79" w:themeColor="accent1" w:themeShade="80"/>
          <w:sz w:val="20"/>
        </w:rPr>
        <w:t xml:space="preserve">Para entender el impacto de la ausencia de libros auxiliares frente al SENIAT, debemos integrar la visión </w:t>
      </w:r>
      <w:r w:rsidRPr="00660402">
        <w:rPr>
          <w:b/>
          <w:bCs/>
          <w:color w:val="1F4E79" w:themeColor="accent1" w:themeShade="80"/>
          <w:sz w:val="20"/>
          <w:bdr w:val="none" w:sz="0" w:space="0" w:color="auto" w:frame="1"/>
        </w:rPr>
        <w:t>funcional</w:t>
      </w:r>
      <w:r w:rsidRPr="00660402">
        <w:rPr>
          <w:color w:val="1F4E79" w:themeColor="accent1" w:themeShade="80"/>
          <w:sz w:val="20"/>
        </w:rPr>
        <w:t xml:space="preserve"> de la contabilidad (Sanmiguel) con la visión </w:t>
      </w:r>
      <w:r w:rsidRPr="00660402">
        <w:rPr>
          <w:b/>
          <w:bCs/>
          <w:color w:val="1F4E79" w:themeColor="accent1" w:themeShade="80"/>
          <w:sz w:val="20"/>
          <w:bdr w:val="none" w:sz="0" w:space="0" w:color="auto" w:frame="1"/>
        </w:rPr>
        <w:t>jurídica y formal</w:t>
      </w:r>
      <w:r w:rsidRPr="00660402">
        <w:rPr>
          <w:color w:val="1F4E79" w:themeColor="accent1" w:themeShade="80"/>
          <w:sz w:val="20"/>
        </w:rPr>
        <w:t xml:space="preserve"> de la obligación tributaria (</w:t>
      </w:r>
      <w:proofErr w:type="spellStart"/>
      <w:r w:rsidRPr="00660402">
        <w:rPr>
          <w:color w:val="1F4E79" w:themeColor="accent1" w:themeShade="80"/>
          <w:sz w:val="20"/>
        </w:rPr>
        <w:t>Jarach</w:t>
      </w:r>
      <w:proofErr w:type="spellEnd"/>
      <w:r w:rsidRPr="00660402">
        <w:rPr>
          <w:color w:val="1F4E79" w:themeColor="accent1" w:themeShade="80"/>
          <w:sz w:val="20"/>
        </w:rPr>
        <w:t>).</w:t>
      </w:r>
    </w:p>
    <w:p w:rsidR="00660402" w:rsidRPr="00660402" w:rsidRDefault="00660402" w:rsidP="00660402">
      <w:pPr>
        <w:pStyle w:val="NormalWeb"/>
        <w:spacing w:before="0" w:beforeAutospacing="0" w:after="120" w:afterAutospacing="0"/>
        <w:rPr>
          <w:color w:val="1F4E79" w:themeColor="accent1" w:themeShade="80"/>
          <w:sz w:val="20"/>
        </w:rPr>
      </w:pPr>
      <w:r w:rsidRPr="00660402">
        <w:rPr>
          <w:color w:val="1F4E79" w:themeColor="accent1" w:themeShade="80"/>
          <w:sz w:val="20"/>
        </w:rPr>
        <w:t xml:space="preserve">Aquí analizamos por qué, aunque tengas los libros obligatorios (Diario, Mayor e Inventario), el incumplimiento de llevar los auxiliares puede resultar en una </w:t>
      </w:r>
      <w:r w:rsidRPr="00660402">
        <w:rPr>
          <w:b/>
          <w:bCs/>
          <w:color w:val="1F4E79" w:themeColor="accent1" w:themeShade="80"/>
          <w:sz w:val="20"/>
          <w:bdr w:val="none" w:sz="0" w:space="0" w:color="auto" w:frame="1"/>
        </w:rPr>
        <w:t>determinación arbitraria de tributos</w:t>
      </w:r>
      <w:r w:rsidRPr="00660402">
        <w:rPr>
          <w:color w:val="1F4E79" w:themeColor="accent1" w:themeShade="80"/>
          <w:sz w:val="20"/>
        </w:rPr>
        <w:t xml:space="preserve"> por parte del fisco.</w:t>
      </w:r>
    </w:p>
    <w:p w:rsidR="00660402" w:rsidRPr="00660402" w:rsidRDefault="00660402" w:rsidP="00660402">
      <w:pPr>
        <w:pStyle w:val="Ttulo3"/>
        <w:spacing w:before="0" w:beforeAutospacing="0" w:after="120" w:afterAutospacing="0"/>
        <w:rPr>
          <w:color w:val="1F4E79" w:themeColor="accent1" w:themeShade="80"/>
          <w:sz w:val="22"/>
        </w:rPr>
      </w:pPr>
      <w:r w:rsidRPr="00660402">
        <w:rPr>
          <w:color w:val="1F4E79" w:themeColor="accent1" w:themeShade="80"/>
          <w:sz w:val="22"/>
        </w:rPr>
        <w:t>1. La Visión de Sanmiguel: Contabilidad como sistema de información</w:t>
      </w:r>
    </w:p>
    <w:p w:rsidR="00660402" w:rsidRPr="00660402" w:rsidRDefault="00660402" w:rsidP="00660402">
      <w:pPr>
        <w:pStyle w:val="NormalWeb"/>
        <w:spacing w:before="0" w:beforeAutospacing="0" w:after="120" w:afterAutospacing="0"/>
        <w:rPr>
          <w:color w:val="1F4E79" w:themeColor="accent1" w:themeShade="80"/>
          <w:sz w:val="20"/>
        </w:rPr>
      </w:pPr>
      <w:r w:rsidRPr="00660402">
        <w:rPr>
          <w:b/>
          <w:bCs/>
          <w:color w:val="1F4E79" w:themeColor="accent1" w:themeShade="80"/>
          <w:sz w:val="20"/>
          <w:bdr w:val="none" w:sz="0" w:space="0" w:color="auto" w:frame="1"/>
        </w:rPr>
        <w:t>Jesús Lizcano Álvarez (basado en la doctrina contable clásica como la de Sanmiguel)</w:t>
      </w:r>
      <w:r w:rsidRPr="00660402">
        <w:rPr>
          <w:color w:val="1F4E79" w:themeColor="accent1" w:themeShade="80"/>
          <w:sz w:val="20"/>
        </w:rPr>
        <w:t xml:space="preserve"> define la contabilidad como un sistema de información que debe ser capaz de suministrar datos </w:t>
      </w:r>
      <w:r w:rsidRPr="00660402">
        <w:rPr>
          <w:b/>
          <w:bCs/>
          <w:color w:val="1F4E79" w:themeColor="accent1" w:themeShade="80"/>
          <w:sz w:val="20"/>
          <w:bdr w:val="none" w:sz="0" w:space="0" w:color="auto" w:frame="1"/>
        </w:rPr>
        <w:t>relevantes y fiables</w:t>
      </w:r>
      <w:r w:rsidRPr="00660402">
        <w:rPr>
          <w:color w:val="1F4E79" w:themeColor="accent1" w:themeShade="80"/>
          <w:sz w:val="20"/>
        </w:rPr>
        <w:t xml:space="preserve"> para la toma de decisiones y el control.</w:t>
      </w:r>
    </w:p>
    <w:p w:rsidR="00660402" w:rsidRPr="00660402" w:rsidRDefault="00660402" w:rsidP="00660402">
      <w:pPr>
        <w:pStyle w:val="NormalWeb"/>
        <w:numPr>
          <w:ilvl w:val="0"/>
          <w:numId w:val="7"/>
        </w:numPr>
        <w:spacing w:before="0" w:beforeAutospacing="0" w:after="120" w:afterAutospacing="0"/>
        <w:ind w:left="0"/>
        <w:rPr>
          <w:color w:val="1F4E79" w:themeColor="accent1" w:themeShade="80"/>
          <w:sz w:val="20"/>
        </w:rPr>
      </w:pPr>
      <w:r w:rsidRPr="00660402">
        <w:rPr>
          <w:b/>
          <w:bCs/>
          <w:color w:val="1F4E79" w:themeColor="accent1" w:themeShade="80"/>
          <w:sz w:val="20"/>
          <w:bdr w:val="none" w:sz="0" w:space="0" w:color="auto" w:frame="1"/>
        </w:rPr>
        <w:t>El impacto:</w:t>
      </w:r>
      <w:r w:rsidRPr="00660402">
        <w:rPr>
          <w:color w:val="1F4E79" w:themeColor="accent1" w:themeShade="80"/>
          <w:sz w:val="20"/>
        </w:rPr>
        <w:t xml:space="preserve"> Si tienes los libros </w:t>
      </w:r>
      <w:proofErr w:type="gramStart"/>
      <w:r w:rsidRPr="00660402">
        <w:rPr>
          <w:color w:val="1F4E79" w:themeColor="accent1" w:themeShade="80"/>
          <w:sz w:val="20"/>
        </w:rPr>
        <w:t>obligatorios</w:t>
      </w:r>
      <w:proofErr w:type="gramEnd"/>
      <w:r w:rsidRPr="00660402">
        <w:rPr>
          <w:color w:val="1F4E79" w:themeColor="accent1" w:themeShade="80"/>
          <w:sz w:val="20"/>
        </w:rPr>
        <w:t xml:space="preserve"> pero no los auxiliares (ej. auxiliar de inventarios o de cuentas por cobrar), tu sistema contable está "ciego" en los detalles. El libro Diario y Mayor son resúmenes (sintéticos); el auxiliar es el detalle (analítico).</w:t>
      </w:r>
    </w:p>
    <w:p w:rsidR="00660402" w:rsidRPr="00660402" w:rsidRDefault="00660402" w:rsidP="00660402">
      <w:pPr>
        <w:pStyle w:val="NormalWeb"/>
        <w:numPr>
          <w:ilvl w:val="0"/>
          <w:numId w:val="7"/>
        </w:numPr>
        <w:spacing w:before="0" w:beforeAutospacing="0" w:after="120" w:afterAutospacing="0"/>
        <w:ind w:left="0"/>
        <w:rPr>
          <w:color w:val="1F4E79" w:themeColor="accent1" w:themeShade="80"/>
          <w:sz w:val="20"/>
        </w:rPr>
      </w:pPr>
      <w:r w:rsidRPr="00660402">
        <w:rPr>
          <w:b/>
          <w:bCs/>
          <w:color w:val="1F4E79" w:themeColor="accent1" w:themeShade="80"/>
          <w:sz w:val="20"/>
          <w:bdr w:val="none" w:sz="0" w:space="0" w:color="auto" w:frame="1"/>
        </w:rPr>
        <w:t>La falla contable:</w:t>
      </w:r>
      <w:r w:rsidRPr="00660402">
        <w:rPr>
          <w:color w:val="1F4E79" w:themeColor="accent1" w:themeShade="80"/>
          <w:sz w:val="20"/>
          <w:bdr w:val="none" w:sz="0" w:space="0" w:color="auto" w:frame="1"/>
        </w:rPr>
        <w:t xml:space="preserve"> Según esta visión, si no puedes desglosar una cuenta, la información no es fiable. Ante una fiscalización, si no presentas auxiliares que soporten las cifras de tus libros obligatorios, el SENIAT puede considerar que tu contabilidad carece de </w:t>
      </w:r>
      <w:r w:rsidRPr="00660402">
        <w:rPr>
          <w:b/>
          <w:bCs/>
          <w:color w:val="1F4E79" w:themeColor="accent1" w:themeShade="80"/>
          <w:sz w:val="20"/>
          <w:bdr w:val="none" w:sz="0" w:space="0" w:color="auto" w:frame="1"/>
        </w:rPr>
        <w:t>valor probatorio</w:t>
      </w:r>
      <w:r w:rsidRPr="00660402">
        <w:rPr>
          <w:color w:val="1F4E79" w:themeColor="accent1" w:themeShade="80"/>
          <w:sz w:val="20"/>
          <w:bdr w:val="none" w:sz="0" w:space="0" w:color="auto" w:frame="1"/>
        </w:rPr>
        <w:t>, ya que un saldo sin detalle analítico es, técnicamente, una cifra "inverificable".</w:t>
      </w:r>
      <w:r w:rsidRPr="00660402">
        <w:rPr>
          <w:color w:val="1F4E79" w:themeColor="accent1" w:themeShade="80"/>
          <w:sz w:val="20"/>
        </w:rPr>
        <w:t xml:space="preserve"> </w:t>
      </w:r>
    </w:p>
    <w:p w:rsidR="00660402" w:rsidRPr="00660402" w:rsidRDefault="00660402" w:rsidP="00660402">
      <w:pPr>
        <w:pStyle w:val="Ttulo3"/>
        <w:spacing w:before="0" w:beforeAutospacing="0" w:after="120" w:afterAutospacing="0"/>
        <w:rPr>
          <w:color w:val="1F4E79" w:themeColor="accent1" w:themeShade="80"/>
          <w:sz w:val="22"/>
        </w:rPr>
      </w:pPr>
      <w:r w:rsidRPr="00660402">
        <w:rPr>
          <w:color w:val="1F4E79" w:themeColor="accent1" w:themeShade="80"/>
          <w:sz w:val="22"/>
        </w:rPr>
        <w:t xml:space="preserve">2. La Visión de </w:t>
      </w:r>
      <w:proofErr w:type="spellStart"/>
      <w:r w:rsidRPr="00660402">
        <w:rPr>
          <w:color w:val="1F4E79" w:themeColor="accent1" w:themeShade="80"/>
          <w:sz w:val="22"/>
        </w:rPr>
        <w:t>Dino</w:t>
      </w:r>
      <w:proofErr w:type="spellEnd"/>
      <w:r w:rsidRPr="00660402">
        <w:rPr>
          <w:color w:val="1F4E79" w:themeColor="accent1" w:themeShade="80"/>
          <w:sz w:val="22"/>
        </w:rPr>
        <w:t xml:space="preserve"> </w:t>
      </w:r>
      <w:proofErr w:type="spellStart"/>
      <w:r w:rsidRPr="00660402">
        <w:rPr>
          <w:color w:val="1F4E79" w:themeColor="accent1" w:themeShade="80"/>
          <w:sz w:val="22"/>
        </w:rPr>
        <w:t>Jarach</w:t>
      </w:r>
      <w:proofErr w:type="spellEnd"/>
      <w:r w:rsidRPr="00660402">
        <w:rPr>
          <w:color w:val="1F4E79" w:themeColor="accent1" w:themeShade="80"/>
          <w:sz w:val="22"/>
        </w:rPr>
        <w:t>: El deber formal y la presunción legal</w:t>
      </w:r>
    </w:p>
    <w:p w:rsidR="00660402" w:rsidRPr="00660402" w:rsidRDefault="00660402" w:rsidP="00660402">
      <w:pPr>
        <w:pStyle w:val="NormalWeb"/>
        <w:spacing w:before="0" w:beforeAutospacing="0" w:after="120" w:afterAutospacing="0"/>
        <w:rPr>
          <w:color w:val="1F4E79" w:themeColor="accent1" w:themeShade="80"/>
          <w:sz w:val="20"/>
        </w:rPr>
      </w:pPr>
      <w:proofErr w:type="spellStart"/>
      <w:r w:rsidRPr="00660402">
        <w:rPr>
          <w:b/>
          <w:bCs/>
          <w:color w:val="1F4E79" w:themeColor="accent1" w:themeShade="80"/>
          <w:sz w:val="20"/>
          <w:bdr w:val="none" w:sz="0" w:space="0" w:color="auto" w:frame="1"/>
        </w:rPr>
        <w:t>Dino</w:t>
      </w:r>
      <w:proofErr w:type="spellEnd"/>
      <w:r w:rsidRPr="00660402">
        <w:rPr>
          <w:b/>
          <w:bCs/>
          <w:color w:val="1F4E79" w:themeColor="accent1" w:themeShade="80"/>
          <w:sz w:val="20"/>
          <w:bdr w:val="none" w:sz="0" w:space="0" w:color="auto" w:frame="1"/>
        </w:rPr>
        <w:t xml:space="preserve"> </w:t>
      </w:r>
      <w:proofErr w:type="spellStart"/>
      <w:r w:rsidRPr="00660402">
        <w:rPr>
          <w:b/>
          <w:bCs/>
          <w:color w:val="1F4E79" w:themeColor="accent1" w:themeShade="80"/>
          <w:sz w:val="20"/>
          <w:bdr w:val="none" w:sz="0" w:space="0" w:color="auto" w:frame="1"/>
        </w:rPr>
        <w:t>Jarach</w:t>
      </w:r>
      <w:proofErr w:type="spellEnd"/>
      <w:r w:rsidRPr="00660402">
        <w:rPr>
          <w:color w:val="1F4E79" w:themeColor="accent1" w:themeShade="80"/>
          <w:sz w:val="20"/>
        </w:rPr>
        <w:t xml:space="preserve">, el jurista más influyente en el derecho tributario latinoamericano, sostiene que la obligación tributaria nace de la ley, pero su cumplimiento se sustenta en </w:t>
      </w:r>
      <w:r w:rsidRPr="00660402">
        <w:rPr>
          <w:b/>
          <w:bCs/>
          <w:color w:val="1F4E79" w:themeColor="accent1" w:themeShade="80"/>
          <w:sz w:val="20"/>
          <w:bdr w:val="none" w:sz="0" w:space="0" w:color="auto" w:frame="1"/>
        </w:rPr>
        <w:t>deberes formales</w:t>
      </w:r>
      <w:r w:rsidRPr="00660402">
        <w:rPr>
          <w:color w:val="1F4E79" w:themeColor="accent1" w:themeShade="80"/>
          <w:sz w:val="20"/>
        </w:rPr>
        <w:t>. La contabilidad es el medio técnico para acreditar la materia imponible.</w:t>
      </w:r>
    </w:p>
    <w:p w:rsidR="00660402" w:rsidRPr="00660402" w:rsidRDefault="00660402" w:rsidP="00660402">
      <w:pPr>
        <w:pStyle w:val="NormalWeb"/>
        <w:numPr>
          <w:ilvl w:val="0"/>
          <w:numId w:val="8"/>
        </w:numPr>
        <w:spacing w:before="0" w:beforeAutospacing="0" w:after="120" w:afterAutospacing="0"/>
        <w:ind w:left="0"/>
        <w:rPr>
          <w:color w:val="1F4E79" w:themeColor="accent1" w:themeShade="80"/>
          <w:sz w:val="20"/>
        </w:rPr>
      </w:pPr>
      <w:r w:rsidRPr="00660402">
        <w:rPr>
          <w:b/>
          <w:bCs/>
          <w:color w:val="1F4E79" w:themeColor="accent1" w:themeShade="80"/>
          <w:sz w:val="20"/>
          <w:bdr w:val="none" w:sz="0" w:space="0" w:color="auto" w:frame="1"/>
        </w:rPr>
        <w:t>El impacto:</w:t>
      </w:r>
      <w:r w:rsidRPr="00660402">
        <w:rPr>
          <w:color w:val="1F4E79" w:themeColor="accent1" w:themeShade="80"/>
          <w:sz w:val="20"/>
        </w:rPr>
        <w:t xml:space="preserve"> Para </w:t>
      </w:r>
      <w:proofErr w:type="spellStart"/>
      <w:r w:rsidRPr="00660402">
        <w:rPr>
          <w:color w:val="1F4E79" w:themeColor="accent1" w:themeShade="80"/>
          <w:sz w:val="20"/>
        </w:rPr>
        <w:t>Jarach</w:t>
      </w:r>
      <w:proofErr w:type="spellEnd"/>
      <w:r w:rsidRPr="00660402">
        <w:rPr>
          <w:color w:val="1F4E79" w:themeColor="accent1" w:themeShade="80"/>
          <w:sz w:val="20"/>
        </w:rPr>
        <w:t>, el cumplimiento del deber formal no es opcional. El Código Orgánico Tributario (COT) venezolano no solo exige llevar libros, sino llevarlos "en forma" y "con los soportes necesarios".</w:t>
      </w:r>
    </w:p>
    <w:p w:rsidR="00660402" w:rsidRPr="00660402" w:rsidRDefault="00660402" w:rsidP="00660402">
      <w:pPr>
        <w:pStyle w:val="NormalWeb"/>
        <w:numPr>
          <w:ilvl w:val="0"/>
          <w:numId w:val="8"/>
        </w:numPr>
        <w:spacing w:before="0" w:beforeAutospacing="0" w:after="120" w:afterAutospacing="0"/>
        <w:ind w:left="0"/>
        <w:rPr>
          <w:color w:val="1F4E79" w:themeColor="accent1" w:themeShade="80"/>
          <w:sz w:val="20"/>
        </w:rPr>
      </w:pPr>
      <w:r w:rsidRPr="00660402">
        <w:rPr>
          <w:b/>
          <w:bCs/>
          <w:color w:val="1F4E79" w:themeColor="accent1" w:themeShade="80"/>
          <w:sz w:val="20"/>
          <w:bdr w:val="none" w:sz="0" w:space="0" w:color="auto" w:frame="1"/>
        </w:rPr>
        <w:t>La presunción de ley:</w:t>
      </w:r>
      <w:r w:rsidRPr="00660402">
        <w:rPr>
          <w:color w:val="1F4E79" w:themeColor="accent1" w:themeShade="80"/>
          <w:sz w:val="20"/>
        </w:rPr>
        <w:t xml:space="preserve"> El COT (Art. 130) otorga al SENIAT facultades de </w:t>
      </w:r>
      <w:r w:rsidRPr="00660402">
        <w:rPr>
          <w:b/>
          <w:bCs/>
          <w:color w:val="1F4E79" w:themeColor="accent1" w:themeShade="80"/>
          <w:sz w:val="20"/>
          <w:bdr w:val="none" w:sz="0" w:space="0" w:color="auto" w:frame="1"/>
        </w:rPr>
        <w:t>determinación sobre base presuntiva</w:t>
      </w:r>
      <w:r w:rsidRPr="00660402">
        <w:rPr>
          <w:color w:val="1F4E79" w:themeColor="accent1" w:themeShade="80"/>
          <w:sz w:val="20"/>
        </w:rPr>
        <w:t xml:space="preserve">. Si tú tienes el libro </w:t>
      </w:r>
      <w:proofErr w:type="gramStart"/>
      <w:r w:rsidRPr="00660402">
        <w:rPr>
          <w:color w:val="1F4E79" w:themeColor="accent1" w:themeShade="80"/>
          <w:sz w:val="20"/>
        </w:rPr>
        <w:t>Diario</w:t>
      </w:r>
      <w:proofErr w:type="gramEnd"/>
      <w:r w:rsidRPr="00660402">
        <w:rPr>
          <w:color w:val="1F4E79" w:themeColor="accent1" w:themeShade="80"/>
          <w:sz w:val="20"/>
        </w:rPr>
        <w:t xml:space="preserve"> pero no el auxiliar de inventarios (que te exige la ley tributaria), el SENIAT puede presumir que tus existencias son diferentes a las declaradas.</w:t>
      </w:r>
    </w:p>
    <w:p w:rsidR="00660402" w:rsidRPr="00660402" w:rsidRDefault="00660402" w:rsidP="00660402">
      <w:pPr>
        <w:pStyle w:val="NormalWeb"/>
        <w:numPr>
          <w:ilvl w:val="0"/>
          <w:numId w:val="8"/>
        </w:numPr>
        <w:spacing w:before="0" w:beforeAutospacing="0" w:after="120" w:afterAutospacing="0"/>
        <w:ind w:left="0"/>
        <w:rPr>
          <w:color w:val="1F4E79" w:themeColor="accent1" w:themeShade="80"/>
          <w:sz w:val="20"/>
        </w:rPr>
      </w:pPr>
      <w:r w:rsidRPr="00660402">
        <w:rPr>
          <w:b/>
          <w:bCs/>
          <w:color w:val="1F4E79" w:themeColor="accent1" w:themeShade="80"/>
          <w:sz w:val="20"/>
          <w:bdr w:val="none" w:sz="0" w:space="0" w:color="auto" w:frame="1"/>
        </w:rPr>
        <w:t xml:space="preserve">El argumento de </w:t>
      </w:r>
      <w:proofErr w:type="spellStart"/>
      <w:r w:rsidRPr="00660402">
        <w:rPr>
          <w:b/>
          <w:bCs/>
          <w:color w:val="1F4E79" w:themeColor="accent1" w:themeShade="80"/>
          <w:sz w:val="20"/>
          <w:bdr w:val="none" w:sz="0" w:space="0" w:color="auto" w:frame="1"/>
        </w:rPr>
        <w:t>Jarach</w:t>
      </w:r>
      <w:proofErr w:type="spellEnd"/>
      <w:r w:rsidRPr="00660402">
        <w:rPr>
          <w:b/>
          <w:bCs/>
          <w:color w:val="1F4E79" w:themeColor="accent1" w:themeShade="80"/>
          <w:sz w:val="20"/>
          <w:bdr w:val="none" w:sz="0" w:space="0" w:color="auto" w:frame="1"/>
        </w:rPr>
        <w:t>:</w:t>
      </w:r>
      <w:r w:rsidRPr="00660402">
        <w:rPr>
          <w:color w:val="1F4E79" w:themeColor="accent1" w:themeShade="80"/>
          <w:sz w:val="20"/>
          <w:bdr w:val="none" w:sz="0" w:space="0" w:color="auto" w:frame="1"/>
        </w:rPr>
        <w:t xml:space="preserve"> La contabilidad es una "prueba </w:t>
      </w:r>
      <w:proofErr w:type="spellStart"/>
      <w:r w:rsidRPr="00660402">
        <w:rPr>
          <w:color w:val="1F4E79" w:themeColor="accent1" w:themeShade="80"/>
          <w:sz w:val="20"/>
          <w:bdr w:val="none" w:sz="0" w:space="0" w:color="auto" w:frame="1"/>
        </w:rPr>
        <w:t>preconstituida</w:t>
      </w:r>
      <w:proofErr w:type="spellEnd"/>
      <w:r w:rsidRPr="00660402">
        <w:rPr>
          <w:color w:val="1F4E79" w:themeColor="accent1" w:themeShade="80"/>
          <w:sz w:val="20"/>
          <w:bdr w:val="none" w:sz="0" w:space="0" w:color="auto" w:frame="1"/>
        </w:rPr>
        <w:t>" en favor del contribuyente. Si los libros obligatorios no coinciden o no están sustentados por sus libros auxiliares (que son el desglose del hecho imponible), el contribuyente pierde su derecho a la "prueba contable" y el SENIAT tiene la potestad legal de estimar el tributo por su cuenta, usualmente en perjuicio del contribuyente.</w:t>
      </w:r>
      <w:r w:rsidRPr="00660402">
        <w:rPr>
          <w:color w:val="1F4E79" w:themeColor="accent1" w:themeShade="80"/>
          <w:sz w:val="20"/>
        </w:rPr>
        <w:t xml:space="preserve"> </w:t>
      </w:r>
    </w:p>
    <w:p w:rsidR="00660402" w:rsidRPr="00660402" w:rsidRDefault="00660402" w:rsidP="00660402">
      <w:pPr>
        <w:pStyle w:val="Ttulo3"/>
        <w:spacing w:before="0" w:beforeAutospacing="0" w:after="120" w:afterAutospacing="0"/>
        <w:rPr>
          <w:color w:val="1F4E79" w:themeColor="accent1" w:themeShade="80"/>
          <w:sz w:val="22"/>
        </w:rPr>
      </w:pPr>
      <w:r w:rsidRPr="00660402">
        <w:rPr>
          <w:color w:val="1F4E79" w:themeColor="accent1" w:themeShade="80"/>
          <w:sz w:val="22"/>
        </w:rPr>
        <w:t>Conclusión: ¿Por qué te afecta frente al SENIAT?</w:t>
      </w:r>
    </w:p>
    <w:p w:rsidR="00660402" w:rsidRPr="00660402" w:rsidRDefault="00660402" w:rsidP="00660402">
      <w:pPr>
        <w:pStyle w:val="NormalWeb"/>
        <w:spacing w:before="0" w:beforeAutospacing="0" w:after="120" w:afterAutospacing="0"/>
        <w:rPr>
          <w:color w:val="1F4E79" w:themeColor="accent1" w:themeShade="80"/>
          <w:sz w:val="20"/>
        </w:rPr>
      </w:pPr>
      <w:r w:rsidRPr="00660402">
        <w:rPr>
          <w:color w:val="1F4E79" w:themeColor="accent1" w:themeShade="80"/>
          <w:sz w:val="20"/>
        </w:rPr>
        <w:t>Aunque lleves tus libros principales (Diario, Mayor e Inventario), el SENIAT puede imponer sanciones severas o desconocer tu contabilidad bajo los siguientes supuestos:</w:t>
      </w:r>
    </w:p>
    <w:p w:rsidR="00660402" w:rsidRPr="00660402" w:rsidRDefault="00660402" w:rsidP="00660402">
      <w:pPr>
        <w:pStyle w:val="NormalWeb"/>
        <w:numPr>
          <w:ilvl w:val="0"/>
          <w:numId w:val="9"/>
        </w:numPr>
        <w:spacing w:before="0" w:beforeAutospacing="0" w:after="120" w:afterAutospacing="0"/>
        <w:ind w:left="0"/>
        <w:rPr>
          <w:color w:val="1F4E79" w:themeColor="accent1" w:themeShade="80"/>
          <w:sz w:val="20"/>
        </w:rPr>
      </w:pPr>
      <w:r w:rsidRPr="00660402">
        <w:rPr>
          <w:b/>
          <w:bCs/>
          <w:color w:val="1F4E79" w:themeColor="accent1" w:themeShade="80"/>
          <w:sz w:val="20"/>
          <w:bdr w:val="none" w:sz="0" w:space="0" w:color="auto" w:frame="1"/>
        </w:rPr>
        <w:t>Inconsistencia material:</w:t>
      </w:r>
      <w:r w:rsidRPr="00660402">
        <w:rPr>
          <w:color w:val="1F4E79" w:themeColor="accent1" w:themeShade="80"/>
          <w:sz w:val="20"/>
        </w:rPr>
        <w:t xml:space="preserve"> El SENIAT busca la "trazabilidad". Si tienes un monto en "Cuentas por Pagar" en el libro Mayor, pero no tienes el auxiliar que detalle a quién se le debe, qué factura es y cuándo vence, el SENIAT </w:t>
      </w:r>
      <w:r w:rsidRPr="00660402">
        <w:rPr>
          <w:b/>
          <w:bCs/>
          <w:color w:val="1F4E79" w:themeColor="accent1" w:themeShade="80"/>
          <w:sz w:val="20"/>
          <w:bdr w:val="none" w:sz="0" w:space="0" w:color="auto" w:frame="1"/>
        </w:rPr>
        <w:t>desconoce el pasivo</w:t>
      </w:r>
      <w:r w:rsidRPr="00660402">
        <w:rPr>
          <w:color w:val="1F4E79" w:themeColor="accent1" w:themeShade="80"/>
          <w:sz w:val="20"/>
        </w:rPr>
        <w:t xml:space="preserve"> (podría asumirlo como un ingreso no declarado y cobrarte ISLR sobre eso).</w:t>
      </w:r>
    </w:p>
    <w:p w:rsidR="00660402" w:rsidRPr="00660402" w:rsidRDefault="00660402" w:rsidP="00660402">
      <w:pPr>
        <w:pStyle w:val="NormalWeb"/>
        <w:numPr>
          <w:ilvl w:val="0"/>
          <w:numId w:val="9"/>
        </w:numPr>
        <w:spacing w:before="0" w:beforeAutospacing="0" w:after="120" w:afterAutospacing="0"/>
        <w:ind w:left="0"/>
        <w:rPr>
          <w:color w:val="1F4E79" w:themeColor="accent1" w:themeShade="80"/>
          <w:sz w:val="20"/>
        </w:rPr>
      </w:pPr>
      <w:r w:rsidRPr="00660402">
        <w:rPr>
          <w:b/>
          <w:bCs/>
          <w:color w:val="1F4E79" w:themeColor="accent1" w:themeShade="80"/>
          <w:sz w:val="20"/>
          <w:bdr w:val="none" w:sz="0" w:space="0" w:color="auto" w:frame="1"/>
        </w:rPr>
        <w:t>Sanciones por ilícitos formales:</w:t>
      </w:r>
      <w:r w:rsidRPr="00660402">
        <w:rPr>
          <w:color w:val="1F4E79" w:themeColor="accent1" w:themeShade="80"/>
          <w:sz w:val="20"/>
        </w:rPr>
        <w:t xml:space="preserve"> El COT contempla multas específicas por no llevar los registros auxiliares exigidos (como los de IVA o controles especiales de inventario).</w:t>
      </w:r>
    </w:p>
    <w:p w:rsidR="00660402" w:rsidRPr="00660402" w:rsidRDefault="00660402" w:rsidP="00660402">
      <w:pPr>
        <w:pStyle w:val="NormalWeb"/>
        <w:numPr>
          <w:ilvl w:val="0"/>
          <w:numId w:val="9"/>
        </w:numPr>
        <w:spacing w:before="0" w:beforeAutospacing="0" w:after="120" w:afterAutospacing="0"/>
        <w:ind w:left="0"/>
        <w:rPr>
          <w:color w:val="1F4E79" w:themeColor="accent1" w:themeShade="80"/>
          <w:sz w:val="20"/>
        </w:rPr>
      </w:pPr>
      <w:r w:rsidRPr="00660402">
        <w:rPr>
          <w:b/>
          <w:bCs/>
          <w:color w:val="1F4E79" w:themeColor="accent1" w:themeShade="80"/>
          <w:sz w:val="20"/>
          <w:bdr w:val="none" w:sz="0" w:space="0" w:color="auto" w:frame="1"/>
        </w:rPr>
        <w:t>Determinación de oficio:</w:t>
      </w:r>
      <w:r w:rsidRPr="00660402">
        <w:rPr>
          <w:color w:val="1F4E79" w:themeColor="accent1" w:themeShade="80"/>
          <w:sz w:val="20"/>
          <w:bdr w:val="none" w:sz="0" w:space="0" w:color="auto" w:frame="1"/>
        </w:rPr>
        <w:t xml:space="preserve"> Al no tener auxiliares adecuados, te colocas en la posición más vulnerable ante la ley: la </w:t>
      </w:r>
      <w:r w:rsidRPr="00660402">
        <w:rPr>
          <w:b/>
          <w:bCs/>
          <w:color w:val="1F4E79" w:themeColor="accent1" w:themeShade="80"/>
          <w:sz w:val="20"/>
          <w:bdr w:val="none" w:sz="0" w:space="0" w:color="auto" w:frame="1"/>
        </w:rPr>
        <w:t>determinación sobre base presuntiva</w:t>
      </w:r>
      <w:r w:rsidRPr="00660402">
        <w:rPr>
          <w:color w:val="1F4E79" w:themeColor="accent1" w:themeShade="80"/>
          <w:sz w:val="20"/>
          <w:bdr w:val="none" w:sz="0" w:space="0" w:color="auto" w:frame="1"/>
        </w:rPr>
        <w:t>. En ese escenario, el SENIAT no está obligado a aceptar tus libros principales, porque el hecho contable no está integralmente documentado.</w:t>
      </w:r>
      <w:r w:rsidRPr="00660402">
        <w:rPr>
          <w:color w:val="1F4E79" w:themeColor="accent1" w:themeShade="80"/>
          <w:sz w:val="20"/>
        </w:rPr>
        <w:t xml:space="preserve"> </w:t>
      </w:r>
    </w:p>
    <w:p w:rsidR="00660402" w:rsidRPr="00660402" w:rsidRDefault="00660402" w:rsidP="00660402">
      <w:pPr>
        <w:pStyle w:val="NormalWeb"/>
        <w:spacing w:before="0" w:beforeAutospacing="0" w:after="120" w:afterAutospacing="0"/>
        <w:rPr>
          <w:color w:val="1F4E79" w:themeColor="accent1" w:themeShade="80"/>
          <w:sz w:val="20"/>
        </w:rPr>
      </w:pPr>
      <w:r w:rsidRPr="00660402">
        <w:rPr>
          <w:b/>
          <w:bCs/>
          <w:color w:val="1F4E79" w:themeColor="accent1" w:themeShade="80"/>
          <w:sz w:val="20"/>
          <w:bdr w:val="none" w:sz="0" w:space="0" w:color="auto" w:frame="1"/>
        </w:rPr>
        <w:t>En resumen:</w:t>
      </w:r>
      <w:r w:rsidRPr="00660402">
        <w:rPr>
          <w:color w:val="1F4E79" w:themeColor="accent1" w:themeShade="80"/>
          <w:sz w:val="20"/>
        </w:rPr>
        <w:t xml:space="preserve"> Para Sanmiguel, sin auxiliares no hay "sistema informativo fiable"; para </w:t>
      </w:r>
      <w:proofErr w:type="spellStart"/>
      <w:r w:rsidRPr="00660402">
        <w:rPr>
          <w:color w:val="1F4E79" w:themeColor="accent1" w:themeShade="80"/>
          <w:sz w:val="20"/>
        </w:rPr>
        <w:t>Jarach</w:t>
      </w:r>
      <w:proofErr w:type="spellEnd"/>
      <w:r w:rsidRPr="00660402">
        <w:rPr>
          <w:color w:val="1F4E79" w:themeColor="accent1" w:themeShade="80"/>
          <w:sz w:val="20"/>
        </w:rPr>
        <w:t xml:space="preserve">, sin auxiliares no hay "cumplimiento del deber formal". Ambos coinciden en que, ante el fisco, </w:t>
      </w:r>
      <w:r w:rsidRPr="00660402">
        <w:rPr>
          <w:b/>
          <w:bCs/>
          <w:color w:val="1F4E79" w:themeColor="accent1" w:themeShade="80"/>
          <w:sz w:val="20"/>
          <w:bdr w:val="none" w:sz="0" w:space="0" w:color="auto" w:frame="1"/>
        </w:rPr>
        <w:t>la ausencia de libros auxiliares es equivalente a la ausencia de contabilidad</w:t>
      </w:r>
      <w:r w:rsidRPr="00660402">
        <w:rPr>
          <w:color w:val="1F4E79" w:themeColor="accent1" w:themeShade="80"/>
          <w:sz w:val="20"/>
        </w:rPr>
        <w:t>, independientemente de que los libros principales estén sellados y foliados.</w:t>
      </w:r>
    </w:p>
    <w:p w:rsidR="00660402" w:rsidRPr="00FE2418" w:rsidRDefault="00660402" w:rsidP="00FE2418">
      <w:pPr>
        <w:spacing w:after="0" w:line="240" w:lineRule="auto"/>
        <w:rPr>
          <w:rFonts w:ascii="Times New Roman" w:eastAsia="Times New Roman" w:hAnsi="Times New Roman" w:cs="Times New Roman"/>
          <w:sz w:val="24"/>
          <w:szCs w:val="24"/>
          <w:lang w:eastAsia="es-419"/>
        </w:rPr>
      </w:pPr>
    </w:p>
    <w:p w:rsidR="00FE2418" w:rsidRPr="00FE2418" w:rsidRDefault="000972BD" w:rsidP="00FE2418">
      <w:pPr>
        <w:spacing w:after="0" w:line="240" w:lineRule="auto"/>
        <w:rPr>
          <w:rFonts w:ascii="Times New Roman" w:eastAsia="Times New Roman" w:hAnsi="Times New Roman" w:cs="Times New Roman"/>
          <w:sz w:val="24"/>
          <w:szCs w:val="24"/>
          <w:lang w:eastAsia="es-419"/>
        </w:rPr>
      </w:pPr>
      <w:r>
        <w:rPr>
          <w:rFonts w:ascii="Times New Roman" w:eastAsia="Times New Roman" w:hAnsi="Times New Roman" w:cs="Times New Roman"/>
          <w:sz w:val="24"/>
          <w:szCs w:val="24"/>
          <w:lang w:eastAsia="es-419"/>
        </w:rPr>
        <w:pict>
          <v:rect id="_x0000_i1027" style="width:0;height:1.5pt" o:hralign="center" o:hrstd="t" o:hr="t" fillcolor="#a0a0a0" stroked="f"/>
        </w:pict>
      </w:r>
    </w:p>
    <w:p w:rsidR="00FE2418" w:rsidRPr="00FE2418" w:rsidRDefault="00FE2418" w:rsidP="00FE2418">
      <w:pPr>
        <w:spacing w:after="0" w:line="240" w:lineRule="auto"/>
        <w:rPr>
          <w:rFonts w:ascii="Times New Roman" w:eastAsia="Times New Roman" w:hAnsi="Times New Roman" w:cs="Times New Roman"/>
          <w:sz w:val="24"/>
          <w:szCs w:val="24"/>
          <w:lang w:eastAsia="es-419"/>
        </w:rPr>
      </w:pPr>
      <w:r w:rsidRPr="00FE2418">
        <w:rPr>
          <w:rFonts w:ascii="Segoe UI Symbol" w:eastAsia="Times New Roman" w:hAnsi="Segoe UI Symbol" w:cs="Segoe UI Symbol"/>
          <w:sz w:val="24"/>
          <w:szCs w:val="24"/>
          <w:lang w:eastAsia="es-419"/>
        </w:rPr>
        <w:lastRenderedPageBreak/>
        <w:t>📌</w:t>
      </w:r>
      <w:r w:rsidRPr="00FE2418">
        <w:rPr>
          <w:rFonts w:ascii="Times New Roman" w:eastAsia="Times New Roman" w:hAnsi="Times New Roman" w:cs="Times New Roman"/>
          <w:sz w:val="24"/>
          <w:szCs w:val="24"/>
          <w:lang w:eastAsia="es-419"/>
        </w:rPr>
        <w:t xml:space="preserve"> Mensaje 4 (Lámina 4): Unidad 3 - Legalización y Conservación de los Libros</w:t>
      </w:r>
    </w:p>
    <w:p w:rsidR="00FE2418" w:rsidRPr="00FE2418" w:rsidRDefault="00FE2418" w:rsidP="00FE2418">
      <w:pPr>
        <w:spacing w:after="0" w:line="240" w:lineRule="auto"/>
        <w:rPr>
          <w:rFonts w:ascii="Times New Roman" w:eastAsia="Times New Roman" w:hAnsi="Times New Roman" w:cs="Times New Roman"/>
          <w:sz w:val="24"/>
          <w:szCs w:val="24"/>
          <w:lang w:eastAsia="es-419"/>
        </w:rPr>
      </w:pPr>
      <w:r w:rsidRPr="00FE2418">
        <w:rPr>
          <w:rFonts w:ascii="Times New Roman" w:eastAsia="Times New Roman" w:hAnsi="Times New Roman" w:cs="Times New Roman"/>
          <w:b/>
          <w:bCs/>
          <w:sz w:val="24"/>
          <w:szCs w:val="24"/>
          <w:lang w:eastAsia="es-419"/>
        </w:rPr>
        <w:t>Fundamentación Teórica:</w:t>
      </w:r>
      <w:r w:rsidRPr="00FE2418">
        <w:rPr>
          <w:rFonts w:ascii="Times New Roman" w:eastAsia="Times New Roman" w:hAnsi="Times New Roman" w:cs="Times New Roman"/>
          <w:sz w:val="24"/>
          <w:szCs w:val="24"/>
          <w:lang w:eastAsia="es-419"/>
        </w:rPr>
        <w:t xml:space="preserve"> La inalterabilidad de la información es la piedra angular del control interno contable. El </w:t>
      </w:r>
      <w:r w:rsidRPr="00FE2418">
        <w:rPr>
          <w:rFonts w:ascii="Times New Roman" w:eastAsia="Times New Roman" w:hAnsi="Times New Roman" w:cs="Times New Roman"/>
          <w:b/>
          <w:bCs/>
          <w:sz w:val="24"/>
          <w:szCs w:val="24"/>
          <w:lang w:eastAsia="es-419"/>
        </w:rPr>
        <w:t>artículo 60 del Código de Comercio Venezolano</w:t>
      </w:r>
      <w:r w:rsidRPr="00FE2418">
        <w:rPr>
          <w:rFonts w:ascii="Times New Roman" w:eastAsia="Times New Roman" w:hAnsi="Times New Roman" w:cs="Times New Roman"/>
          <w:sz w:val="24"/>
          <w:szCs w:val="24"/>
          <w:lang w:eastAsia="es-419"/>
        </w:rPr>
        <w:t xml:space="preserve"> establece, de forma genérica y categórica, que los libros y papeles del comerciante (junto con sus comprobantes) deben conservarse por un tiempo determinado, cuando menos por </w:t>
      </w:r>
      <w:r w:rsidRPr="00FE2418">
        <w:rPr>
          <w:rFonts w:ascii="Times New Roman" w:eastAsia="Times New Roman" w:hAnsi="Times New Roman" w:cs="Times New Roman"/>
          <w:b/>
          <w:bCs/>
          <w:sz w:val="24"/>
          <w:szCs w:val="24"/>
          <w:lang w:eastAsia="es-419"/>
        </w:rPr>
        <w:t>diez (10) años</w:t>
      </w:r>
      <w:r w:rsidRPr="00FE2418">
        <w:rPr>
          <w:rFonts w:ascii="Times New Roman" w:eastAsia="Times New Roman" w:hAnsi="Times New Roman" w:cs="Times New Roman"/>
          <w:sz w:val="24"/>
          <w:szCs w:val="24"/>
          <w:lang w:eastAsia="es-419"/>
        </w:rPr>
        <w:t xml:space="preserve">, contando desde la fecha del cierre o del último asiento. Adicionalmente, a nivel tributario, el </w:t>
      </w:r>
      <w:r w:rsidRPr="00FE2418">
        <w:rPr>
          <w:rFonts w:ascii="Times New Roman" w:eastAsia="Times New Roman" w:hAnsi="Times New Roman" w:cs="Times New Roman"/>
          <w:b/>
          <w:bCs/>
          <w:sz w:val="24"/>
          <w:szCs w:val="24"/>
          <w:lang w:eastAsia="es-419"/>
        </w:rPr>
        <w:t>artículo 155 del Código Orgánico Tributario (COT)</w:t>
      </w:r>
      <w:r w:rsidRPr="00FE2418">
        <w:rPr>
          <w:rFonts w:ascii="Times New Roman" w:eastAsia="Times New Roman" w:hAnsi="Times New Roman" w:cs="Times New Roman"/>
          <w:sz w:val="24"/>
          <w:szCs w:val="24"/>
          <w:lang w:eastAsia="es-419"/>
        </w:rPr>
        <w:t xml:space="preserve"> refuerza esta normativa exigiendo la exhibición y conservación ordenada de los libros mientras el tributo no esté prescrito.</w:t>
      </w:r>
    </w:p>
    <w:p w:rsidR="00FE2418" w:rsidRDefault="00FE2418" w:rsidP="00FE2418">
      <w:pPr>
        <w:spacing w:after="0" w:line="240" w:lineRule="auto"/>
        <w:rPr>
          <w:rFonts w:ascii="Times New Roman" w:eastAsia="Times New Roman" w:hAnsi="Times New Roman" w:cs="Times New Roman"/>
          <w:i/>
          <w:iCs/>
          <w:sz w:val="24"/>
          <w:szCs w:val="24"/>
          <w:lang w:eastAsia="es-419"/>
        </w:rPr>
      </w:pPr>
      <w:r w:rsidRPr="00FE2418">
        <w:rPr>
          <w:rFonts w:ascii="Segoe UI Symbol" w:eastAsia="Times New Roman" w:hAnsi="Segoe UI Symbol" w:cs="Segoe UI Symbol"/>
          <w:sz w:val="24"/>
          <w:szCs w:val="24"/>
          <w:lang w:eastAsia="es-419"/>
        </w:rPr>
        <w:t>🗣</w:t>
      </w:r>
      <w:r w:rsidRPr="00FE2418">
        <w:rPr>
          <w:rFonts w:ascii="Times New Roman" w:eastAsia="Times New Roman" w:hAnsi="Times New Roman" w:cs="Times New Roman"/>
          <w:sz w:val="24"/>
          <w:szCs w:val="24"/>
          <w:lang w:eastAsia="es-419"/>
        </w:rPr>
        <w:t xml:space="preserve"> </w:t>
      </w:r>
      <w:r w:rsidRPr="00FE2418">
        <w:rPr>
          <w:rFonts w:ascii="Times New Roman" w:eastAsia="Times New Roman" w:hAnsi="Times New Roman" w:cs="Times New Roman"/>
          <w:b/>
          <w:bCs/>
          <w:sz w:val="24"/>
          <w:szCs w:val="24"/>
          <w:lang w:eastAsia="es-419"/>
        </w:rPr>
        <w:t>Pregunta para el foro:</w:t>
      </w:r>
      <w:r w:rsidRPr="00FE2418">
        <w:rPr>
          <w:rFonts w:ascii="Times New Roman" w:eastAsia="Times New Roman" w:hAnsi="Times New Roman" w:cs="Times New Roman"/>
          <w:sz w:val="24"/>
          <w:szCs w:val="24"/>
          <w:lang w:eastAsia="es-419"/>
        </w:rPr>
        <w:t xml:space="preserve"> </w:t>
      </w:r>
      <w:r w:rsidRPr="00FE2418">
        <w:rPr>
          <w:rFonts w:ascii="Times New Roman" w:eastAsia="Times New Roman" w:hAnsi="Times New Roman" w:cs="Times New Roman"/>
          <w:i/>
          <w:iCs/>
          <w:sz w:val="24"/>
          <w:szCs w:val="24"/>
          <w:lang w:eastAsia="es-419"/>
        </w:rPr>
        <w:t>Pensando en los 10 años de conservación que exige el Código de Comercio (Art. 60), ¿están preparadas tecnológicamente nuestras empresas para resguardar los libros contables electrónicos o computarizados durante toda una década sin que pierdan su validez probatoria?</w:t>
      </w:r>
    </w:p>
    <w:p w:rsidR="00A438C9" w:rsidRDefault="00A438C9" w:rsidP="00FE2418">
      <w:pPr>
        <w:spacing w:after="0" w:line="240" w:lineRule="auto"/>
        <w:rPr>
          <w:rFonts w:ascii="Times New Roman" w:eastAsia="Times New Roman" w:hAnsi="Times New Roman" w:cs="Times New Roman"/>
          <w:i/>
          <w:iCs/>
          <w:sz w:val="24"/>
          <w:szCs w:val="24"/>
          <w:lang w:eastAsia="es-419"/>
        </w:rPr>
      </w:pPr>
    </w:p>
    <w:p w:rsidR="00A438C9" w:rsidRPr="00A438C9" w:rsidRDefault="00A438C9" w:rsidP="00A438C9">
      <w:pPr>
        <w:pStyle w:val="NormalWeb"/>
        <w:spacing w:before="0" w:beforeAutospacing="0" w:after="120" w:afterAutospacing="0"/>
        <w:rPr>
          <w:color w:val="1F4E79" w:themeColor="accent1" w:themeShade="80"/>
          <w:sz w:val="20"/>
        </w:rPr>
      </w:pPr>
      <w:r w:rsidRPr="00A438C9">
        <w:rPr>
          <w:color w:val="1F4E79" w:themeColor="accent1" w:themeShade="80"/>
          <w:sz w:val="20"/>
        </w:rPr>
        <w:t xml:space="preserve">Esta es una de las preguntas más críticas para el auditor y consultor contable en la era actual. Si bien el </w:t>
      </w:r>
      <w:r w:rsidRPr="00A438C9">
        <w:rPr>
          <w:b/>
          <w:bCs/>
          <w:color w:val="1F4E79" w:themeColor="accent1" w:themeShade="80"/>
          <w:sz w:val="20"/>
          <w:bdr w:val="none" w:sz="0" w:space="0" w:color="auto" w:frame="1"/>
        </w:rPr>
        <w:t>Código de Comercio (Art. 44)</w:t>
      </w:r>
      <w:r w:rsidRPr="00A438C9">
        <w:rPr>
          <w:color w:val="1F4E79" w:themeColor="accent1" w:themeShade="80"/>
          <w:sz w:val="20"/>
        </w:rPr>
        <w:t xml:space="preserve"> exige la conservación por diez años, la tecnología ha avanzado más rápido que la normativa, creando una brecha peligrosa entre la "legalidad" y la "realidad técnica".</w:t>
      </w:r>
    </w:p>
    <w:p w:rsidR="00A438C9" w:rsidRPr="00A438C9" w:rsidRDefault="00A438C9" w:rsidP="00A438C9">
      <w:pPr>
        <w:pStyle w:val="NormalWeb"/>
        <w:spacing w:before="0" w:beforeAutospacing="0" w:after="120" w:afterAutospacing="0"/>
        <w:rPr>
          <w:color w:val="1F4E79" w:themeColor="accent1" w:themeShade="80"/>
          <w:sz w:val="20"/>
        </w:rPr>
      </w:pPr>
      <w:r w:rsidRPr="00A438C9">
        <w:rPr>
          <w:color w:val="1F4E79" w:themeColor="accent1" w:themeShade="80"/>
          <w:sz w:val="20"/>
        </w:rPr>
        <w:t xml:space="preserve">La respuesta corta es: </w:t>
      </w:r>
      <w:r w:rsidRPr="00A438C9">
        <w:rPr>
          <w:b/>
          <w:bCs/>
          <w:color w:val="1F4E79" w:themeColor="accent1" w:themeShade="80"/>
          <w:sz w:val="20"/>
          <w:bdr w:val="none" w:sz="0" w:space="0" w:color="auto" w:frame="1"/>
        </w:rPr>
        <w:t>La mayoría de las PYMES en Venezuela NO están preparadas</w:t>
      </w:r>
      <w:r w:rsidRPr="00A438C9">
        <w:rPr>
          <w:color w:val="1F4E79" w:themeColor="accent1" w:themeShade="80"/>
          <w:sz w:val="20"/>
        </w:rPr>
        <w:t xml:space="preserve"> para garantizar la validez probatoria de sus libros electrónicos durante una década.</w:t>
      </w:r>
    </w:p>
    <w:p w:rsidR="00A438C9" w:rsidRPr="00A438C9" w:rsidRDefault="00A438C9" w:rsidP="00A438C9">
      <w:pPr>
        <w:pStyle w:val="NormalWeb"/>
        <w:spacing w:before="0" w:beforeAutospacing="0" w:after="120" w:afterAutospacing="0"/>
        <w:rPr>
          <w:color w:val="1F4E79" w:themeColor="accent1" w:themeShade="80"/>
          <w:sz w:val="20"/>
        </w:rPr>
      </w:pPr>
      <w:r w:rsidRPr="00A438C9">
        <w:rPr>
          <w:color w:val="1F4E79" w:themeColor="accent1" w:themeShade="80"/>
          <w:sz w:val="20"/>
        </w:rPr>
        <w:t>Aquí te presento el análisis del porqué, basado en la premisa del resguardo y la validez ante el SENIAT:</w:t>
      </w:r>
    </w:p>
    <w:p w:rsidR="00A438C9" w:rsidRPr="00A438C9" w:rsidRDefault="00A438C9" w:rsidP="00A438C9">
      <w:pPr>
        <w:pStyle w:val="Ttulo3"/>
        <w:spacing w:before="0" w:beforeAutospacing="0" w:after="120" w:afterAutospacing="0"/>
        <w:rPr>
          <w:color w:val="1F4E79" w:themeColor="accent1" w:themeShade="80"/>
          <w:sz w:val="22"/>
        </w:rPr>
      </w:pPr>
      <w:r w:rsidRPr="00A438C9">
        <w:rPr>
          <w:color w:val="1F4E79" w:themeColor="accent1" w:themeShade="80"/>
          <w:sz w:val="22"/>
        </w:rPr>
        <w:t>1. El reto de la "Obsolescencia Tecnológica"</w:t>
      </w:r>
    </w:p>
    <w:p w:rsidR="00A438C9" w:rsidRPr="00A438C9" w:rsidRDefault="00A438C9" w:rsidP="00A438C9">
      <w:pPr>
        <w:pStyle w:val="NormalWeb"/>
        <w:spacing w:before="0" w:beforeAutospacing="0" w:after="120" w:afterAutospacing="0"/>
        <w:rPr>
          <w:color w:val="1F4E79" w:themeColor="accent1" w:themeShade="80"/>
          <w:sz w:val="20"/>
        </w:rPr>
      </w:pPr>
      <w:r w:rsidRPr="00A438C9">
        <w:rPr>
          <w:color w:val="1F4E79" w:themeColor="accent1" w:themeShade="80"/>
          <w:sz w:val="20"/>
        </w:rPr>
        <w:t>El mayor riesgo para la validez probatoria es la capacidad de lectura futura.</w:t>
      </w:r>
    </w:p>
    <w:p w:rsidR="00A438C9" w:rsidRPr="00A438C9" w:rsidRDefault="00A438C9" w:rsidP="00A438C9">
      <w:pPr>
        <w:pStyle w:val="NormalWeb"/>
        <w:numPr>
          <w:ilvl w:val="0"/>
          <w:numId w:val="10"/>
        </w:numPr>
        <w:spacing w:before="0" w:beforeAutospacing="0" w:after="120" w:afterAutospacing="0"/>
        <w:ind w:left="0"/>
        <w:rPr>
          <w:color w:val="1F4E79" w:themeColor="accent1" w:themeShade="80"/>
          <w:sz w:val="20"/>
        </w:rPr>
      </w:pPr>
      <w:r w:rsidRPr="00A438C9">
        <w:rPr>
          <w:b/>
          <w:bCs/>
          <w:color w:val="1F4E79" w:themeColor="accent1" w:themeShade="80"/>
          <w:sz w:val="20"/>
          <w:bdr w:val="none" w:sz="0" w:space="0" w:color="auto" w:frame="1"/>
        </w:rPr>
        <w:t>El problema:</w:t>
      </w:r>
      <w:r w:rsidRPr="00A438C9">
        <w:rPr>
          <w:color w:val="1F4E79" w:themeColor="accent1" w:themeShade="80"/>
          <w:sz w:val="20"/>
        </w:rPr>
        <w:t xml:space="preserve"> Si una PYME guarda sus libros en un formato propietario (ej. archivos de un software de contabilidad de 2026), es altamente probable que en 2036 ese software ya no exista, sea incompatible con los sistemas operativos de la época o que el formato de archivo sea ilegible.</w:t>
      </w:r>
    </w:p>
    <w:p w:rsidR="00A438C9" w:rsidRPr="00A438C9" w:rsidRDefault="00A438C9" w:rsidP="00A438C9">
      <w:pPr>
        <w:pStyle w:val="NormalWeb"/>
        <w:numPr>
          <w:ilvl w:val="0"/>
          <w:numId w:val="10"/>
        </w:numPr>
        <w:spacing w:before="0" w:beforeAutospacing="0" w:after="120" w:afterAutospacing="0"/>
        <w:ind w:left="0"/>
        <w:rPr>
          <w:color w:val="1F4E79" w:themeColor="accent1" w:themeShade="80"/>
          <w:sz w:val="20"/>
        </w:rPr>
      </w:pPr>
      <w:r w:rsidRPr="00A438C9">
        <w:rPr>
          <w:b/>
          <w:bCs/>
          <w:color w:val="1F4E79" w:themeColor="accent1" w:themeShade="80"/>
          <w:sz w:val="20"/>
          <w:bdr w:val="none" w:sz="0" w:space="0" w:color="auto" w:frame="1"/>
        </w:rPr>
        <w:t>La exigencia legal:</w:t>
      </w:r>
      <w:r w:rsidRPr="00A438C9">
        <w:rPr>
          <w:color w:val="1F4E79" w:themeColor="accent1" w:themeShade="80"/>
          <w:sz w:val="20"/>
        </w:rPr>
        <w:t xml:space="preserve"> Para que un documento electrónico sea prueba válida, debe ser </w:t>
      </w:r>
      <w:r w:rsidRPr="00A438C9">
        <w:rPr>
          <w:b/>
          <w:bCs/>
          <w:color w:val="1F4E79" w:themeColor="accent1" w:themeShade="80"/>
          <w:sz w:val="20"/>
          <w:bdr w:val="none" w:sz="0" w:space="0" w:color="auto" w:frame="1"/>
        </w:rPr>
        <w:t>accesible, legible e inalterable</w:t>
      </w:r>
      <w:r w:rsidRPr="00A438C9">
        <w:rPr>
          <w:color w:val="1F4E79" w:themeColor="accent1" w:themeShade="80"/>
          <w:sz w:val="20"/>
        </w:rPr>
        <w:t>. Un archivo que no puedes abrir en 10 años, a efectos del SENIAT, es un libro no conservado.</w:t>
      </w:r>
    </w:p>
    <w:p w:rsidR="00A438C9" w:rsidRPr="00A438C9" w:rsidRDefault="00A438C9" w:rsidP="00A438C9">
      <w:pPr>
        <w:pStyle w:val="Ttulo3"/>
        <w:spacing w:before="0" w:beforeAutospacing="0" w:after="120" w:afterAutospacing="0"/>
        <w:rPr>
          <w:color w:val="1F4E79" w:themeColor="accent1" w:themeShade="80"/>
          <w:sz w:val="22"/>
        </w:rPr>
      </w:pPr>
      <w:r w:rsidRPr="00A438C9">
        <w:rPr>
          <w:color w:val="1F4E79" w:themeColor="accent1" w:themeShade="80"/>
          <w:sz w:val="22"/>
        </w:rPr>
        <w:t>2. La trampa de la "Integridad" y la "Inalterabilidad"</w:t>
      </w:r>
    </w:p>
    <w:p w:rsidR="00A438C9" w:rsidRPr="00A438C9" w:rsidRDefault="00A438C9" w:rsidP="00A438C9">
      <w:pPr>
        <w:pStyle w:val="NormalWeb"/>
        <w:spacing w:before="0" w:beforeAutospacing="0" w:after="120" w:afterAutospacing="0"/>
        <w:rPr>
          <w:color w:val="1F4E79" w:themeColor="accent1" w:themeShade="80"/>
          <w:sz w:val="20"/>
        </w:rPr>
      </w:pPr>
      <w:r w:rsidRPr="00A438C9">
        <w:rPr>
          <w:color w:val="1F4E79" w:themeColor="accent1" w:themeShade="80"/>
          <w:sz w:val="20"/>
        </w:rPr>
        <w:t>El Código de Comercio y el COT exigen que los libros no sean alterables.</w:t>
      </w:r>
    </w:p>
    <w:p w:rsidR="00A438C9" w:rsidRPr="00A438C9" w:rsidRDefault="00A438C9" w:rsidP="00A438C9">
      <w:pPr>
        <w:pStyle w:val="NormalWeb"/>
        <w:numPr>
          <w:ilvl w:val="0"/>
          <w:numId w:val="11"/>
        </w:numPr>
        <w:spacing w:before="0" w:beforeAutospacing="0" w:after="120" w:afterAutospacing="0"/>
        <w:ind w:left="0"/>
        <w:rPr>
          <w:color w:val="1F4E79" w:themeColor="accent1" w:themeShade="80"/>
          <w:sz w:val="20"/>
        </w:rPr>
      </w:pPr>
      <w:r w:rsidRPr="00A438C9">
        <w:rPr>
          <w:b/>
          <w:bCs/>
          <w:color w:val="1F4E79" w:themeColor="accent1" w:themeShade="80"/>
          <w:sz w:val="20"/>
          <w:bdr w:val="none" w:sz="0" w:space="0" w:color="auto" w:frame="1"/>
        </w:rPr>
        <w:t>El problema:</w:t>
      </w:r>
      <w:r w:rsidRPr="00A438C9">
        <w:rPr>
          <w:color w:val="1F4E79" w:themeColor="accent1" w:themeShade="80"/>
          <w:sz w:val="20"/>
        </w:rPr>
        <w:t xml:space="preserve"> Un archivo en Excel o un PDF simple puede ser modificado fácilmente si no cuenta con firmas digitales, sellos de tiempo o </w:t>
      </w:r>
      <w:r w:rsidRPr="00A438C9">
        <w:rPr>
          <w:i/>
          <w:iCs/>
          <w:color w:val="1F4E79" w:themeColor="accent1" w:themeShade="80"/>
          <w:sz w:val="20"/>
          <w:bdr w:val="none" w:sz="0" w:space="0" w:color="auto" w:frame="1"/>
        </w:rPr>
        <w:t>hashes</w:t>
      </w:r>
      <w:r w:rsidRPr="00A438C9">
        <w:rPr>
          <w:color w:val="1F4E79" w:themeColor="accent1" w:themeShade="80"/>
          <w:sz w:val="20"/>
        </w:rPr>
        <w:t xml:space="preserve"> de seguridad.</w:t>
      </w:r>
    </w:p>
    <w:p w:rsidR="00A438C9" w:rsidRPr="00A438C9" w:rsidRDefault="00A438C9" w:rsidP="00A438C9">
      <w:pPr>
        <w:pStyle w:val="NormalWeb"/>
        <w:numPr>
          <w:ilvl w:val="0"/>
          <w:numId w:val="11"/>
        </w:numPr>
        <w:spacing w:before="0" w:beforeAutospacing="0" w:after="120" w:afterAutospacing="0"/>
        <w:ind w:left="0"/>
        <w:rPr>
          <w:color w:val="1F4E79" w:themeColor="accent1" w:themeShade="80"/>
          <w:sz w:val="20"/>
        </w:rPr>
      </w:pPr>
      <w:r w:rsidRPr="00A438C9">
        <w:rPr>
          <w:b/>
          <w:bCs/>
          <w:color w:val="1F4E79" w:themeColor="accent1" w:themeShade="80"/>
          <w:sz w:val="20"/>
          <w:bdr w:val="none" w:sz="0" w:space="0" w:color="auto" w:frame="1"/>
        </w:rPr>
        <w:t>La realidad en PYMES:</w:t>
      </w:r>
      <w:r w:rsidRPr="00A438C9">
        <w:rPr>
          <w:color w:val="1F4E79" w:themeColor="accent1" w:themeShade="80"/>
          <w:sz w:val="20"/>
        </w:rPr>
        <w:t xml:space="preserve"> Muchas empresas simplemente guardan copias en un disco duro o en una nube personal. Si el archivo es modificado por error o por un usuario con privilegios, se pierde la </w:t>
      </w:r>
      <w:r w:rsidRPr="00A438C9">
        <w:rPr>
          <w:b/>
          <w:bCs/>
          <w:color w:val="1F4E79" w:themeColor="accent1" w:themeShade="80"/>
          <w:sz w:val="20"/>
          <w:bdr w:val="none" w:sz="0" w:space="0" w:color="auto" w:frame="1"/>
        </w:rPr>
        <w:t>trazabilidad</w:t>
      </w:r>
      <w:r w:rsidRPr="00A438C9">
        <w:rPr>
          <w:color w:val="1F4E79" w:themeColor="accent1" w:themeShade="80"/>
          <w:sz w:val="20"/>
        </w:rPr>
        <w:t xml:space="preserve"> necesaria para una auditoría fiscal. Frente al SENIAT, si un archivo digital no tiene mecanismos que garanticen que es el "original" y que no ha sido editado, pierde su valor probatorio.</w:t>
      </w:r>
    </w:p>
    <w:p w:rsidR="00A438C9" w:rsidRPr="00A438C9" w:rsidRDefault="00A438C9" w:rsidP="00A438C9">
      <w:pPr>
        <w:pStyle w:val="Ttulo3"/>
        <w:spacing w:before="0" w:beforeAutospacing="0" w:after="120" w:afterAutospacing="0"/>
        <w:rPr>
          <w:color w:val="1F4E79" w:themeColor="accent1" w:themeShade="80"/>
          <w:sz w:val="22"/>
        </w:rPr>
      </w:pPr>
      <w:r w:rsidRPr="00A438C9">
        <w:rPr>
          <w:color w:val="1F4E79" w:themeColor="accent1" w:themeShade="80"/>
          <w:sz w:val="22"/>
        </w:rPr>
        <w:t>3. La fragilidad del almacenamiento (La "Nube" vs. el Soporte Físico)</w:t>
      </w:r>
    </w:p>
    <w:p w:rsidR="00A438C9" w:rsidRPr="00A438C9" w:rsidRDefault="00A438C9" w:rsidP="00A438C9">
      <w:pPr>
        <w:pStyle w:val="NormalWeb"/>
        <w:spacing w:before="0" w:beforeAutospacing="0" w:after="120" w:afterAutospacing="0"/>
        <w:rPr>
          <w:color w:val="1F4E79" w:themeColor="accent1" w:themeShade="80"/>
          <w:sz w:val="20"/>
        </w:rPr>
      </w:pPr>
      <w:r w:rsidRPr="00A438C9">
        <w:rPr>
          <w:color w:val="1F4E79" w:themeColor="accent1" w:themeShade="80"/>
          <w:sz w:val="20"/>
        </w:rPr>
        <w:t>El almacenamiento digital es mucho más volátil de lo que parece.</w:t>
      </w:r>
    </w:p>
    <w:p w:rsidR="00A438C9" w:rsidRPr="00A438C9" w:rsidRDefault="00A438C9" w:rsidP="00A438C9">
      <w:pPr>
        <w:pStyle w:val="NormalWeb"/>
        <w:numPr>
          <w:ilvl w:val="0"/>
          <w:numId w:val="12"/>
        </w:numPr>
        <w:spacing w:before="0" w:beforeAutospacing="0" w:after="120" w:afterAutospacing="0"/>
        <w:ind w:left="0"/>
        <w:rPr>
          <w:color w:val="1F4E79" w:themeColor="accent1" w:themeShade="80"/>
          <w:sz w:val="20"/>
        </w:rPr>
      </w:pPr>
      <w:r w:rsidRPr="00A438C9">
        <w:rPr>
          <w:b/>
          <w:bCs/>
          <w:color w:val="1F4E79" w:themeColor="accent1" w:themeShade="80"/>
          <w:sz w:val="20"/>
          <w:bdr w:val="none" w:sz="0" w:space="0" w:color="auto" w:frame="1"/>
        </w:rPr>
        <w:t>El problema:</w:t>
      </w:r>
      <w:r w:rsidRPr="00A438C9">
        <w:rPr>
          <w:color w:val="1F4E79" w:themeColor="accent1" w:themeShade="80"/>
          <w:sz w:val="20"/>
        </w:rPr>
        <w:t xml:space="preserve"> La degradación de los soportes físicos (discos duros externos que fallan, memorias USB que se dañan) y la dependencia de servicios de nube (cuyos términos de servicio pueden cambiar o cuya cuenta puede ser bloqueada) ponen en riesgo la continuidad de los 10 años de resguardo.</w:t>
      </w:r>
    </w:p>
    <w:p w:rsidR="00A438C9" w:rsidRPr="00A438C9" w:rsidRDefault="00A438C9" w:rsidP="00A438C9">
      <w:pPr>
        <w:pStyle w:val="NormalWeb"/>
        <w:numPr>
          <w:ilvl w:val="0"/>
          <w:numId w:val="12"/>
        </w:numPr>
        <w:spacing w:before="0" w:beforeAutospacing="0" w:after="120" w:afterAutospacing="0"/>
        <w:ind w:left="0"/>
        <w:rPr>
          <w:color w:val="1F4E79" w:themeColor="accent1" w:themeShade="80"/>
          <w:sz w:val="20"/>
        </w:rPr>
      </w:pPr>
      <w:r w:rsidRPr="00A438C9">
        <w:rPr>
          <w:b/>
          <w:bCs/>
          <w:color w:val="1F4E79" w:themeColor="accent1" w:themeShade="80"/>
          <w:sz w:val="20"/>
          <w:bdr w:val="none" w:sz="0" w:space="0" w:color="auto" w:frame="1"/>
        </w:rPr>
        <w:t>El riesgo:</w:t>
      </w:r>
      <w:r w:rsidRPr="00A438C9">
        <w:rPr>
          <w:color w:val="1F4E79" w:themeColor="accent1" w:themeShade="80"/>
          <w:sz w:val="20"/>
        </w:rPr>
        <w:t xml:space="preserve"> Si una PYME depende exclusivamente de un servidor local que se quema o de una nube que cierra, la empresa no tiene cómo demostrar su contabilidad ante una revisión imprevista.</w:t>
      </w:r>
    </w:p>
    <w:p w:rsidR="00A438C9" w:rsidRPr="00A438C9" w:rsidRDefault="00A438C9" w:rsidP="00A438C9">
      <w:pPr>
        <w:pStyle w:val="Ttulo3"/>
        <w:spacing w:before="0" w:beforeAutospacing="0" w:after="120" w:afterAutospacing="0"/>
        <w:rPr>
          <w:color w:val="1F4E79" w:themeColor="accent1" w:themeShade="80"/>
          <w:sz w:val="22"/>
        </w:rPr>
      </w:pPr>
      <w:r w:rsidRPr="00A438C9">
        <w:rPr>
          <w:color w:val="1F4E79" w:themeColor="accent1" w:themeShade="80"/>
          <w:sz w:val="22"/>
        </w:rPr>
        <w:t>¿</w:t>
      </w:r>
      <w:bookmarkStart w:id="0" w:name="_GoBack"/>
      <w:r w:rsidRPr="00A438C9">
        <w:rPr>
          <w:color w:val="1F4E79" w:themeColor="accent1" w:themeShade="80"/>
          <w:sz w:val="22"/>
        </w:rPr>
        <w:t>Cómo "prepararse" técnicamente para cumplir la Ley?</w:t>
      </w:r>
    </w:p>
    <w:p w:rsidR="00A438C9" w:rsidRPr="00A438C9" w:rsidRDefault="00A438C9" w:rsidP="00A438C9">
      <w:pPr>
        <w:pStyle w:val="NormalWeb"/>
        <w:spacing w:before="0" w:beforeAutospacing="0" w:after="120" w:afterAutospacing="0"/>
        <w:rPr>
          <w:color w:val="1F4E79" w:themeColor="accent1" w:themeShade="80"/>
          <w:sz w:val="20"/>
        </w:rPr>
      </w:pPr>
      <w:r w:rsidRPr="00A438C9">
        <w:rPr>
          <w:color w:val="1F4E79" w:themeColor="accent1" w:themeShade="80"/>
          <w:sz w:val="20"/>
        </w:rPr>
        <w:t xml:space="preserve">Para que una PYME venezolana esté realmente preparada y cumpla con el espíritu del Código de Comercio y el COT, debería implementar los siguientes </w:t>
      </w:r>
      <w:r w:rsidRPr="00A438C9">
        <w:rPr>
          <w:b/>
          <w:bCs/>
          <w:color w:val="1F4E79" w:themeColor="accent1" w:themeShade="80"/>
          <w:sz w:val="20"/>
          <w:bdr w:val="none" w:sz="0" w:space="0" w:color="auto" w:frame="1"/>
        </w:rPr>
        <w:t>niveles de seguridad documental</w:t>
      </w:r>
      <w:r w:rsidRPr="00A438C9">
        <w:rPr>
          <w:color w:val="1F4E79" w:themeColor="accent1" w:themeShade="80"/>
          <w:sz w:val="20"/>
        </w:rPr>
        <w:t>:</w:t>
      </w:r>
    </w:p>
    <w:p w:rsidR="00A438C9" w:rsidRPr="00A438C9" w:rsidRDefault="00A438C9" w:rsidP="00A438C9">
      <w:pPr>
        <w:pStyle w:val="NormalWeb"/>
        <w:numPr>
          <w:ilvl w:val="0"/>
          <w:numId w:val="13"/>
        </w:numPr>
        <w:spacing w:before="0" w:beforeAutospacing="0" w:after="120" w:afterAutospacing="0"/>
        <w:ind w:left="0"/>
        <w:rPr>
          <w:color w:val="1F4E79" w:themeColor="accent1" w:themeShade="80"/>
          <w:sz w:val="20"/>
        </w:rPr>
      </w:pPr>
      <w:r w:rsidRPr="00A438C9">
        <w:rPr>
          <w:b/>
          <w:bCs/>
          <w:color w:val="1F4E79" w:themeColor="accent1" w:themeShade="80"/>
          <w:sz w:val="20"/>
          <w:bdr w:val="none" w:sz="0" w:space="0" w:color="auto" w:frame="1"/>
        </w:rPr>
        <w:t>Formatos de Archivo Estándar (No propietarios):</w:t>
      </w:r>
      <w:r w:rsidRPr="00A438C9">
        <w:rPr>
          <w:color w:val="1F4E79" w:themeColor="accent1" w:themeShade="80"/>
          <w:sz w:val="20"/>
        </w:rPr>
        <w:t xml:space="preserve"> Exportar siempre los libros a formatos de larga duración y apertura universal, como </w:t>
      </w:r>
      <w:r w:rsidRPr="00A438C9">
        <w:rPr>
          <w:b/>
          <w:bCs/>
          <w:color w:val="1F4E79" w:themeColor="accent1" w:themeShade="80"/>
          <w:sz w:val="20"/>
          <w:bdr w:val="none" w:sz="0" w:space="0" w:color="auto" w:frame="1"/>
        </w:rPr>
        <w:t>PDF/A</w:t>
      </w:r>
      <w:r w:rsidRPr="00A438C9">
        <w:rPr>
          <w:color w:val="1F4E79" w:themeColor="accent1" w:themeShade="80"/>
          <w:sz w:val="20"/>
        </w:rPr>
        <w:t xml:space="preserve"> (formato de archivo diseñado para la preservación a largo plazo de documentos electrónicos).</w:t>
      </w:r>
    </w:p>
    <w:p w:rsidR="00A438C9" w:rsidRPr="00A438C9" w:rsidRDefault="00A438C9" w:rsidP="00A438C9">
      <w:pPr>
        <w:pStyle w:val="NormalWeb"/>
        <w:numPr>
          <w:ilvl w:val="0"/>
          <w:numId w:val="13"/>
        </w:numPr>
        <w:spacing w:before="0" w:beforeAutospacing="0" w:after="120" w:afterAutospacing="0"/>
        <w:ind w:left="0"/>
        <w:rPr>
          <w:color w:val="1F4E79" w:themeColor="accent1" w:themeShade="80"/>
          <w:sz w:val="20"/>
        </w:rPr>
      </w:pPr>
      <w:r w:rsidRPr="00A438C9">
        <w:rPr>
          <w:b/>
          <w:bCs/>
          <w:color w:val="1F4E79" w:themeColor="accent1" w:themeShade="80"/>
          <w:sz w:val="20"/>
          <w:bdr w:val="none" w:sz="0" w:space="0" w:color="auto" w:frame="1"/>
        </w:rPr>
        <w:t>Redundancia (Regla 3-2-1):</w:t>
      </w:r>
      <w:r w:rsidRPr="00A438C9">
        <w:rPr>
          <w:color w:val="1F4E79" w:themeColor="accent1" w:themeShade="80"/>
          <w:sz w:val="20"/>
        </w:rPr>
        <w:t xml:space="preserve"> Tener 3 copias de la contabilidad, en 2 soportes distintos (ej. servidor local y nube), y 1 copia fuera de la empresa (off-</w:t>
      </w:r>
      <w:proofErr w:type="spellStart"/>
      <w:r w:rsidRPr="00A438C9">
        <w:rPr>
          <w:color w:val="1F4E79" w:themeColor="accent1" w:themeShade="80"/>
          <w:sz w:val="20"/>
        </w:rPr>
        <w:t>site</w:t>
      </w:r>
      <w:proofErr w:type="spellEnd"/>
      <w:r w:rsidRPr="00A438C9">
        <w:rPr>
          <w:color w:val="1F4E79" w:themeColor="accent1" w:themeShade="80"/>
          <w:sz w:val="20"/>
        </w:rPr>
        <w:t>), cifrada y protegida.</w:t>
      </w:r>
    </w:p>
    <w:p w:rsidR="00A438C9" w:rsidRPr="00A438C9" w:rsidRDefault="00A438C9" w:rsidP="00A438C9">
      <w:pPr>
        <w:pStyle w:val="NormalWeb"/>
        <w:numPr>
          <w:ilvl w:val="0"/>
          <w:numId w:val="13"/>
        </w:numPr>
        <w:spacing w:before="0" w:beforeAutospacing="0" w:after="120" w:afterAutospacing="0"/>
        <w:ind w:left="0"/>
        <w:rPr>
          <w:color w:val="1F4E79" w:themeColor="accent1" w:themeShade="80"/>
          <w:sz w:val="20"/>
        </w:rPr>
      </w:pPr>
      <w:r w:rsidRPr="00A438C9">
        <w:rPr>
          <w:b/>
          <w:bCs/>
          <w:color w:val="1F4E79" w:themeColor="accent1" w:themeShade="80"/>
          <w:sz w:val="20"/>
          <w:bdr w:val="none" w:sz="0" w:space="0" w:color="auto" w:frame="1"/>
        </w:rPr>
        <w:t>Firmas Electrónicas y Sellos de Tiempo:</w:t>
      </w:r>
      <w:r w:rsidRPr="00A438C9">
        <w:rPr>
          <w:color w:val="1F4E79" w:themeColor="accent1" w:themeShade="80"/>
          <w:sz w:val="20"/>
        </w:rPr>
        <w:t xml:space="preserve"> Utilizar servicios de terceros de confianza o proveedores de certificados digitales que permitan certificar que el archivo contable existe en una fecha específica y que no ha sido modificado desde entonces.</w:t>
      </w:r>
    </w:p>
    <w:p w:rsidR="00A438C9" w:rsidRPr="00A438C9" w:rsidRDefault="00A438C9" w:rsidP="00A438C9">
      <w:pPr>
        <w:pStyle w:val="NormalWeb"/>
        <w:numPr>
          <w:ilvl w:val="0"/>
          <w:numId w:val="13"/>
        </w:numPr>
        <w:spacing w:before="0" w:beforeAutospacing="0" w:after="120" w:afterAutospacing="0"/>
        <w:ind w:left="0"/>
        <w:rPr>
          <w:color w:val="1F4E79" w:themeColor="accent1" w:themeShade="80"/>
          <w:sz w:val="20"/>
        </w:rPr>
      </w:pPr>
      <w:r w:rsidRPr="00A438C9">
        <w:rPr>
          <w:b/>
          <w:bCs/>
          <w:color w:val="1F4E79" w:themeColor="accent1" w:themeShade="80"/>
          <w:sz w:val="20"/>
          <w:bdr w:val="none" w:sz="0" w:space="0" w:color="auto" w:frame="1"/>
        </w:rPr>
        <w:lastRenderedPageBreak/>
        <w:t>Bitácora de Cambios:</w:t>
      </w:r>
      <w:r w:rsidRPr="00A438C9">
        <w:rPr>
          <w:color w:val="1F4E79" w:themeColor="accent1" w:themeShade="80"/>
          <w:sz w:val="20"/>
        </w:rPr>
        <w:t xml:space="preserve"> Mantener un registro (log) de quién, cuándo y qué cambió en el sistema contable. Si el SENIAT cuestiona un asiento de hace 5 años, la empresa debe poder demostrar el origen y la trazabilidad del registro.</w:t>
      </w:r>
    </w:p>
    <w:bookmarkEnd w:id="0"/>
    <w:p w:rsidR="00A438C9" w:rsidRPr="00A438C9" w:rsidRDefault="00A438C9" w:rsidP="00A438C9">
      <w:pPr>
        <w:pStyle w:val="Ttulo3"/>
        <w:spacing w:before="0" w:beforeAutospacing="0" w:after="120" w:afterAutospacing="0"/>
        <w:rPr>
          <w:color w:val="1F4E79" w:themeColor="accent1" w:themeShade="80"/>
          <w:sz w:val="22"/>
        </w:rPr>
      </w:pPr>
      <w:r w:rsidRPr="00A438C9">
        <w:rPr>
          <w:color w:val="1F4E79" w:themeColor="accent1" w:themeShade="80"/>
          <w:sz w:val="22"/>
        </w:rPr>
        <w:t>Conclusión para tu diplomado</w:t>
      </w:r>
    </w:p>
    <w:p w:rsidR="00A438C9" w:rsidRPr="00A438C9" w:rsidRDefault="00A438C9" w:rsidP="00A438C9">
      <w:pPr>
        <w:pStyle w:val="NormalWeb"/>
        <w:spacing w:before="0" w:beforeAutospacing="0" w:after="120" w:afterAutospacing="0"/>
        <w:rPr>
          <w:color w:val="1F4E79" w:themeColor="accent1" w:themeShade="80"/>
          <w:sz w:val="20"/>
        </w:rPr>
      </w:pPr>
      <w:r w:rsidRPr="00A438C9">
        <w:rPr>
          <w:color w:val="1F4E79" w:themeColor="accent1" w:themeShade="80"/>
          <w:sz w:val="20"/>
        </w:rPr>
        <w:t xml:space="preserve">El mayor error de las empresas es creer que "tener una copia" es igual a "conservar los libros legalmente". La </w:t>
      </w:r>
      <w:r w:rsidRPr="00A438C9">
        <w:rPr>
          <w:b/>
          <w:bCs/>
          <w:color w:val="1F4E79" w:themeColor="accent1" w:themeShade="80"/>
          <w:sz w:val="20"/>
          <w:bdr w:val="none" w:sz="0" w:space="0" w:color="auto" w:frame="1"/>
        </w:rPr>
        <w:t>validez probatoria</w:t>
      </w:r>
      <w:r w:rsidRPr="00A438C9">
        <w:rPr>
          <w:color w:val="1F4E79" w:themeColor="accent1" w:themeShade="80"/>
          <w:sz w:val="20"/>
        </w:rPr>
        <w:t xml:space="preserve"> requiere que la información sea </w:t>
      </w:r>
      <w:r w:rsidRPr="00A438C9">
        <w:rPr>
          <w:b/>
          <w:bCs/>
          <w:color w:val="1F4E79" w:themeColor="accent1" w:themeShade="80"/>
          <w:sz w:val="20"/>
          <w:bdr w:val="none" w:sz="0" w:space="0" w:color="auto" w:frame="1"/>
        </w:rPr>
        <w:t>inalterable y recuperable</w:t>
      </w:r>
      <w:r w:rsidRPr="00A438C9">
        <w:rPr>
          <w:color w:val="1F4E79" w:themeColor="accent1" w:themeShade="80"/>
          <w:sz w:val="20"/>
        </w:rPr>
        <w:t xml:space="preserve">. Ante una fiscalización del SENIAT después de 7 u 8 años, una empresa que solo tenga archivos sueltos en un disco duro externo —que quizás ya no funciona— se enfrentará a una </w:t>
      </w:r>
      <w:r w:rsidRPr="00A438C9">
        <w:rPr>
          <w:b/>
          <w:bCs/>
          <w:color w:val="1F4E79" w:themeColor="accent1" w:themeShade="80"/>
          <w:sz w:val="20"/>
          <w:bdr w:val="none" w:sz="0" w:space="0" w:color="auto" w:frame="1"/>
        </w:rPr>
        <w:t>determinación de oficio</w:t>
      </w:r>
      <w:r w:rsidRPr="00A438C9">
        <w:rPr>
          <w:color w:val="1F4E79" w:themeColor="accent1" w:themeShade="80"/>
          <w:sz w:val="20"/>
        </w:rPr>
        <w:t xml:space="preserve"> por incapacidad de demostrar el cumplimiento de sus deberes formales.</w:t>
      </w:r>
    </w:p>
    <w:p w:rsidR="00A438C9" w:rsidRPr="00A438C9" w:rsidRDefault="00A438C9" w:rsidP="00A438C9">
      <w:pPr>
        <w:pStyle w:val="NormalWeb"/>
        <w:spacing w:before="0" w:beforeAutospacing="0" w:after="120" w:afterAutospacing="0"/>
        <w:rPr>
          <w:color w:val="1F4E79" w:themeColor="accent1" w:themeShade="80"/>
          <w:sz w:val="20"/>
        </w:rPr>
      </w:pPr>
      <w:r w:rsidRPr="00A438C9">
        <w:rPr>
          <w:b/>
          <w:bCs/>
          <w:color w:val="1F4E79" w:themeColor="accent1" w:themeShade="80"/>
          <w:sz w:val="20"/>
          <w:bdr w:val="none" w:sz="0" w:space="0" w:color="auto" w:frame="1"/>
        </w:rPr>
        <w:t>Recomendación:</w:t>
      </w:r>
      <w:r w:rsidRPr="00A438C9">
        <w:rPr>
          <w:color w:val="1F4E79" w:themeColor="accent1" w:themeShade="80"/>
          <w:sz w:val="20"/>
        </w:rPr>
        <w:t xml:space="preserve"> La contabilidad electrónica en Venezuela debe tratarse como un </w:t>
      </w:r>
      <w:r w:rsidRPr="00A438C9">
        <w:rPr>
          <w:b/>
          <w:bCs/>
          <w:color w:val="1F4E79" w:themeColor="accent1" w:themeShade="80"/>
          <w:sz w:val="20"/>
          <w:bdr w:val="none" w:sz="0" w:space="0" w:color="auto" w:frame="1"/>
        </w:rPr>
        <w:t>archivo histórico</w:t>
      </w:r>
      <w:r w:rsidRPr="00A438C9">
        <w:rPr>
          <w:color w:val="1F4E79" w:themeColor="accent1" w:themeShade="80"/>
          <w:sz w:val="20"/>
        </w:rPr>
        <w:t>, no como un simple respaldo de TI. La tecnología cambia, pero la ley de 10 años de resguardo es inamovible.</w:t>
      </w:r>
    </w:p>
    <w:p w:rsidR="00A438C9" w:rsidRPr="00FE2418" w:rsidRDefault="00A438C9" w:rsidP="00FE2418">
      <w:pPr>
        <w:spacing w:after="0" w:line="240" w:lineRule="auto"/>
        <w:rPr>
          <w:rFonts w:ascii="Times New Roman" w:eastAsia="Times New Roman" w:hAnsi="Times New Roman" w:cs="Times New Roman"/>
          <w:sz w:val="24"/>
          <w:szCs w:val="24"/>
          <w:lang w:eastAsia="es-419"/>
        </w:rPr>
      </w:pPr>
    </w:p>
    <w:p w:rsidR="00FE2418" w:rsidRPr="00FE2418" w:rsidRDefault="000972BD" w:rsidP="00FE2418">
      <w:pPr>
        <w:spacing w:after="0" w:line="240" w:lineRule="auto"/>
        <w:rPr>
          <w:rFonts w:ascii="Times New Roman" w:eastAsia="Times New Roman" w:hAnsi="Times New Roman" w:cs="Times New Roman"/>
          <w:sz w:val="24"/>
          <w:szCs w:val="24"/>
          <w:lang w:eastAsia="es-419"/>
        </w:rPr>
      </w:pPr>
      <w:r>
        <w:rPr>
          <w:rFonts w:ascii="Times New Roman" w:eastAsia="Times New Roman" w:hAnsi="Times New Roman" w:cs="Times New Roman"/>
          <w:sz w:val="24"/>
          <w:szCs w:val="24"/>
          <w:lang w:eastAsia="es-419"/>
        </w:rPr>
        <w:pict>
          <v:rect id="_x0000_i1028" style="width:0;height:1.5pt" o:hralign="center" o:hrstd="t" o:hr="t" fillcolor="#a0a0a0" stroked="f"/>
        </w:pict>
      </w:r>
    </w:p>
    <w:p w:rsidR="00FE2418" w:rsidRDefault="00FE2418" w:rsidP="00FE2418">
      <w:pPr>
        <w:spacing w:after="0" w:line="240" w:lineRule="auto"/>
        <w:rPr>
          <w:rFonts w:ascii="Times New Roman" w:eastAsia="Times New Roman" w:hAnsi="Times New Roman" w:cs="Times New Roman"/>
          <w:i/>
          <w:iCs/>
          <w:sz w:val="24"/>
          <w:szCs w:val="24"/>
          <w:lang w:eastAsia="es-419"/>
        </w:rPr>
      </w:pPr>
      <w:r w:rsidRPr="00FE2418">
        <w:rPr>
          <w:rFonts w:ascii="Times New Roman" w:eastAsia="Times New Roman" w:hAnsi="Times New Roman" w:cs="Times New Roman"/>
          <w:i/>
          <w:iCs/>
          <w:sz w:val="24"/>
          <w:szCs w:val="24"/>
          <w:lang w:eastAsia="es-419"/>
        </w:rPr>
        <w:t>(Nota para ti: La infografía integral se está procesando e incluirá estas 4 áreas. Si al verla consideras que prefieres un recurso gráfico separado para alguna unidad en específico, avísame y con gusto genero otra infografía adicional enfocada solo en ese tema).</w:t>
      </w:r>
    </w:p>
    <w:p w:rsidR="00A438C9" w:rsidRPr="00FE2418" w:rsidRDefault="00A438C9" w:rsidP="00FE2418">
      <w:pPr>
        <w:spacing w:after="0" w:line="240" w:lineRule="auto"/>
        <w:rPr>
          <w:rFonts w:ascii="Times New Roman" w:eastAsia="Times New Roman" w:hAnsi="Times New Roman" w:cs="Times New Roman"/>
          <w:sz w:val="24"/>
          <w:szCs w:val="24"/>
          <w:lang w:eastAsia="es-419"/>
        </w:rPr>
      </w:pPr>
    </w:p>
    <w:p w:rsidR="00FE2418" w:rsidRPr="00FE2418" w:rsidRDefault="00FE2418" w:rsidP="00FE2418">
      <w:pPr>
        <w:spacing w:before="100" w:beforeAutospacing="1" w:after="100" w:afterAutospacing="1" w:line="240" w:lineRule="auto"/>
        <w:rPr>
          <w:rFonts w:ascii="Times New Roman" w:eastAsia="Times New Roman" w:hAnsi="Times New Roman" w:cs="Times New Roman"/>
          <w:sz w:val="24"/>
          <w:szCs w:val="24"/>
          <w:lang w:eastAsia="es-419"/>
        </w:rPr>
      </w:pPr>
    </w:p>
    <w:p w:rsidR="00FE2418" w:rsidRPr="00FE2418" w:rsidRDefault="00FE2418" w:rsidP="00FE2418">
      <w:pPr>
        <w:spacing w:before="100" w:beforeAutospacing="1" w:after="100" w:afterAutospacing="1" w:line="240" w:lineRule="auto"/>
        <w:rPr>
          <w:rFonts w:ascii="Times New Roman" w:eastAsia="Times New Roman" w:hAnsi="Times New Roman" w:cs="Times New Roman"/>
          <w:sz w:val="24"/>
          <w:szCs w:val="24"/>
          <w:lang w:eastAsia="es-419"/>
        </w:rPr>
      </w:pPr>
    </w:p>
    <w:p w:rsidR="00FE2418" w:rsidRPr="00FE2418" w:rsidRDefault="00FE2418" w:rsidP="00FE2418">
      <w:pPr>
        <w:spacing w:before="100" w:beforeAutospacing="1" w:after="100" w:afterAutospacing="1" w:line="240" w:lineRule="auto"/>
        <w:rPr>
          <w:rFonts w:ascii="Times New Roman" w:eastAsia="Times New Roman" w:hAnsi="Times New Roman" w:cs="Times New Roman"/>
          <w:sz w:val="24"/>
          <w:szCs w:val="24"/>
          <w:lang w:eastAsia="es-419"/>
        </w:rPr>
      </w:pPr>
    </w:p>
    <w:p w:rsidR="00093067" w:rsidRPr="00FE2418" w:rsidRDefault="00093067"/>
    <w:sectPr w:rsidR="00093067" w:rsidRPr="00FE2418" w:rsidSect="00291CF4">
      <w:pgSz w:w="12240" w:h="15840" w:code="1"/>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E07DBA"/>
    <w:multiLevelType w:val="multilevel"/>
    <w:tmpl w:val="368C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D31B6"/>
    <w:multiLevelType w:val="multilevel"/>
    <w:tmpl w:val="C0F2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927DE"/>
    <w:multiLevelType w:val="multilevel"/>
    <w:tmpl w:val="665A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52A9C"/>
    <w:multiLevelType w:val="multilevel"/>
    <w:tmpl w:val="CC40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77C50"/>
    <w:multiLevelType w:val="multilevel"/>
    <w:tmpl w:val="BB94B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917175"/>
    <w:multiLevelType w:val="multilevel"/>
    <w:tmpl w:val="EC40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323E8"/>
    <w:multiLevelType w:val="multilevel"/>
    <w:tmpl w:val="6408E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222130"/>
    <w:multiLevelType w:val="multilevel"/>
    <w:tmpl w:val="C028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F30AA"/>
    <w:multiLevelType w:val="multilevel"/>
    <w:tmpl w:val="2AAE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006A5"/>
    <w:multiLevelType w:val="multilevel"/>
    <w:tmpl w:val="4EE8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6A0203"/>
    <w:multiLevelType w:val="multilevel"/>
    <w:tmpl w:val="BAAC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DA1A61"/>
    <w:multiLevelType w:val="multilevel"/>
    <w:tmpl w:val="3E94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130842"/>
    <w:multiLevelType w:val="multilevel"/>
    <w:tmpl w:val="1D20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3"/>
  </w:num>
  <w:num w:numId="4">
    <w:abstractNumId w:val="0"/>
  </w:num>
  <w:num w:numId="5">
    <w:abstractNumId w:val="7"/>
  </w:num>
  <w:num w:numId="6">
    <w:abstractNumId w:val="1"/>
  </w:num>
  <w:num w:numId="7">
    <w:abstractNumId w:val="5"/>
  </w:num>
  <w:num w:numId="8">
    <w:abstractNumId w:val="10"/>
  </w:num>
  <w:num w:numId="9">
    <w:abstractNumId w:val="4"/>
  </w:num>
  <w:num w:numId="10">
    <w:abstractNumId w:val="2"/>
  </w:num>
  <w:num w:numId="11">
    <w:abstractNumId w:val="9"/>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418"/>
    <w:rsid w:val="00093067"/>
    <w:rsid w:val="000972BD"/>
    <w:rsid w:val="00291CF4"/>
    <w:rsid w:val="00660402"/>
    <w:rsid w:val="009734C3"/>
    <w:rsid w:val="00A438C9"/>
    <w:rsid w:val="00FE241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56F3F"/>
  <w15:chartTrackingRefBased/>
  <w15:docId w15:val="{0C800AD2-7B03-44BA-8BD6-35AFC8122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FE2418"/>
    <w:pPr>
      <w:spacing w:before="100" w:beforeAutospacing="1" w:after="100" w:afterAutospacing="1" w:line="240" w:lineRule="auto"/>
      <w:outlineLvl w:val="2"/>
    </w:pPr>
    <w:rPr>
      <w:rFonts w:ascii="Times New Roman" w:eastAsia="Times New Roman" w:hAnsi="Times New Roman" w:cs="Times New Roman"/>
      <w:b/>
      <w:bCs/>
      <w:sz w:val="27"/>
      <w:szCs w:val="27"/>
      <w:lang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FE2418"/>
    <w:rPr>
      <w:rFonts w:ascii="Times New Roman" w:eastAsia="Times New Roman" w:hAnsi="Times New Roman" w:cs="Times New Roman"/>
      <w:b/>
      <w:bCs/>
      <w:sz w:val="27"/>
      <w:szCs w:val="27"/>
      <w:lang w:eastAsia="es-419"/>
    </w:rPr>
  </w:style>
  <w:style w:type="paragraph" w:styleId="NormalWeb">
    <w:name w:val="Normal (Web)"/>
    <w:basedOn w:val="Normal"/>
    <w:uiPriority w:val="99"/>
    <w:semiHidden/>
    <w:unhideWhenUsed/>
    <w:rsid w:val="00FE2418"/>
    <w:pPr>
      <w:spacing w:before="100" w:beforeAutospacing="1" w:after="100" w:afterAutospacing="1" w:line="240" w:lineRule="auto"/>
    </w:pPr>
    <w:rPr>
      <w:rFonts w:ascii="Times New Roman" w:eastAsia="Times New Roman" w:hAnsi="Times New Roman" w:cs="Times New Roman"/>
      <w:sz w:val="24"/>
      <w:szCs w:val="24"/>
      <w:lang w:eastAsia="es-419"/>
    </w:rPr>
  </w:style>
  <w:style w:type="character" w:customStyle="1" w:styleId="ng-star-inserted">
    <w:name w:val="ng-star-inserted"/>
    <w:basedOn w:val="Fuentedeprrafopredeter"/>
    <w:rsid w:val="00FE24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085793">
      <w:bodyDiv w:val="1"/>
      <w:marLeft w:val="0"/>
      <w:marRight w:val="0"/>
      <w:marTop w:val="0"/>
      <w:marBottom w:val="0"/>
      <w:divBdr>
        <w:top w:val="none" w:sz="0" w:space="0" w:color="auto"/>
        <w:left w:val="none" w:sz="0" w:space="0" w:color="auto"/>
        <w:bottom w:val="none" w:sz="0" w:space="0" w:color="auto"/>
        <w:right w:val="none" w:sz="0" w:space="0" w:color="auto"/>
      </w:divBdr>
    </w:div>
    <w:div w:id="271132616">
      <w:bodyDiv w:val="1"/>
      <w:marLeft w:val="0"/>
      <w:marRight w:val="0"/>
      <w:marTop w:val="0"/>
      <w:marBottom w:val="0"/>
      <w:divBdr>
        <w:top w:val="none" w:sz="0" w:space="0" w:color="auto"/>
        <w:left w:val="none" w:sz="0" w:space="0" w:color="auto"/>
        <w:bottom w:val="none" w:sz="0" w:space="0" w:color="auto"/>
        <w:right w:val="none" w:sz="0" w:space="0" w:color="auto"/>
      </w:divBdr>
    </w:div>
    <w:div w:id="462694634">
      <w:bodyDiv w:val="1"/>
      <w:marLeft w:val="0"/>
      <w:marRight w:val="0"/>
      <w:marTop w:val="0"/>
      <w:marBottom w:val="0"/>
      <w:divBdr>
        <w:top w:val="none" w:sz="0" w:space="0" w:color="auto"/>
        <w:left w:val="none" w:sz="0" w:space="0" w:color="auto"/>
        <w:bottom w:val="none" w:sz="0" w:space="0" w:color="auto"/>
        <w:right w:val="none" w:sz="0" w:space="0" w:color="auto"/>
      </w:divBdr>
      <w:divsChild>
        <w:div w:id="1423641937">
          <w:marLeft w:val="0"/>
          <w:marRight w:val="0"/>
          <w:marTop w:val="0"/>
          <w:marBottom w:val="0"/>
          <w:divBdr>
            <w:top w:val="none" w:sz="0" w:space="0" w:color="auto"/>
            <w:left w:val="none" w:sz="0" w:space="0" w:color="auto"/>
            <w:bottom w:val="none" w:sz="0" w:space="0" w:color="auto"/>
            <w:right w:val="none" w:sz="0" w:space="0" w:color="auto"/>
          </w:divBdr>
        </w:div>
        <w:div w:id="1756437436">
          <w:marLeft w:val="0"/>
          <w:marRight w:val="0"/>
          <w:marTop w:val="0"/>
          <w:marBottom w:val="0"/>
          <w:divBdr>
            <w:top w:val="none" w:sz="0" w:space="0" w:color="auto"/>
            <w:left w:val="none" w:sz="0" w:space="0" w:color="auto"/>
            <w:bottom w:val="none" w:sz="0" w:space="0" w:color="auto"/>
            <w:right w:val="none" w:sz="0" w:space="0" w:color="auto"/>
          </w:divBdr>
        </w:div>
        <w:div w:id="206602160">
          <w:marLeft w:val="0"/>
          <w:marRight w:val="0"/>
          <w:marTop w:val="0"/>
          <w:marBottom w:val="0"/>
          <w:divBdr>
            <w:top w:val="none" w:sz="0" w:space="0" w:color="auto"/>
            <w:left w:val="none" w:sz="0" w:space="0" w:color="auto"/>
            <w:bottom w:val="none" w:sz="0" w:space="0" w:color="auto"/>
            <w:right w:val="none" w:sz="0" w:space="0" w:color="auto"/>
          </w:divBdr>
        </w:div>
        <w:div w:id="776021736">
          <w:marLeft w:val="0"/>
          <w:marRight w:val="0"/>
          <w:marTop w:val="0"/>
          <w:marBottom w:val="0"/>
          <w:divBdr>
            <w:top w:val="none" w:sz="0" w:space="0" w:color="auto"/>
            <w:left w:val="none" w:sz="0" w:space="0" w:color="auto"/>
            <w:bottom w:val="none" w:sz="0" w:space="0" w:color="auto"/>
            <w:right w:val="none" w:sz="0" w:space="0" w:color="auto"/>
          </w:divBdr>
        </w:div>
        <w:div w:id="424614253">
          <w:marLeft w:val="0"/>
          <w:marRight w:val="0"/>
          <w:marTop w:val="0"/>
          <w:marBottom w:val="0"/>
          <w:divBdr>
            <w:top w:val="none" w:sz="0" w:space="0" w:color="auto"/>
            <w:left w:val="none" w:sz="0" w:space="0" w:color="auto"/>
            <w:bottom w:val="none" w:sz="0" w:space="0" w:color="auto"/>
            <w:right w:val="none" w:sz="0" w:space="0" w:color="auto"/>
          </w:divBdr>
        </w:div>
        <w:div w:id="1823690881">
          <w:marLeft w:val="0"/>
          <w:marRight w:val="0"/>
          <w:marTop w:val="0"/>
          <w:marBottom w:val="0"/>
          <w:divBdr>
            <w:top w:val="none" w:sz="0" w:space="0" w:color="auto"/>
            <w:left w:val="none" w:sz="0" w:space="0" w:color="auto"/>
            <w:bottom w:val="none" w:sz="0" w:space="0" w:color="auto"/>
            <w:right w:val="none" w:sz="0" w:space="0" w:color="auto"/>
          </w:divBdr>
        </w:div>
        <w:div w:id="1947230097">
          <w:marLeft w:val="0"/>
          <w:marRight w:val="0"/>
          <w:marTop w:val="0"/>
          <w:marBottom w:val="0"/>
          <w:divBdr>
            <w:top w:val="none" w:sz="0" w:space="0" w:color="auto"/>
            <w:left w:val="none" w:sz="0" w:space="0" w:color="auto"/>
            <w:bottom w:val="none" w:sz="0" w:space="0" w:color="auto"/>
            <w:right w:val="none" w:sz="0" w:space="0" w:color="auto"/>
          </w:divBdr>
        </w:div>
        <w:div w:id="1579632808">
          <w:marLeft w:val="0"/>
          <w:marRight w:val="0"/>
          <w:marTop w:val="0"/>
          <w:marBottom w:val="0"/>
          <w:divBdr>
            <w:top w:val="none" w:sz="0" w:space="0" w:color="auto"/>
            <w:left w:val="none" w:sz="0" w:space="0" w:color="auto"/>
            <w:bottom w:val="none" w:sz="0" w:space="0" w:color="auto"/>
            <w:right w:val="none" w:sz="0" w:space="0" w:color="auto"/>
          </w:divBdr>
        </w:div>
        <w:div w:id="1926111832">
          <w:marLeft w:val="0"/>
          <w:marRight w:val="0"/>
          <w:marTop w:val="0"/>
          <w:marBottom w:val="0"/>
          <w:divBdr>
            <w:top w:val="none" w:sz="0" w:space="0" w:color="auto"/>
            <w:left w:val="none" w:sz="0" w:space="0" w:color="auto"/>
            <w:bottom w:val="none" w:sz="0" w:space="0" w:color="auto"/>
            <w:right w:val="none" w:sz="0" w:space="0" w:color="auto"/>
          </w:divBdr>
        </w:div>
        <w:div w:id="321279121">
          <w:marLeft w:val="0"/>
          <w:marRight w:val="0"/>
          <w:marTop w:val="0"/>
          <w:marBottom w:val="0"/>
          <w:divBdr>
            <w:top w:val="none" w:sz="0" w:space="0" w:color="auto"/>
            <w:left w:val="none" w:sz="0" w:space="0" w:color="auto"/>
            <w:bottom w:val="none" w:sz="0" w:space="0" w:color="auto"/>
            <w:right w:val="none" w:sz="0" w:space="0" w:color="auto"/>
          </w:divBdr>
        </w:div>
        <w:div w:id="1550220175">
          <w:marLeft w:val="0"/>
          <w:marRight w:val="0"/>
          <w:marTop w:val="0"/>
          <w:marBottom w:val="0"/>
          <w:divBdr>
            <w:top w:val="none" w:sz="0" w:space="0" w:color="auto"/>
            <w:left w:val="none" w:sz="0" w:space="0" w:color="auto"/>
            <w:bottom w:val="none" w:sz="0" w:space="0" w:color="auto"/>
            <w:right w:val="none" w:sz="0" w:space="0" w:color="auto"/>
          </w:divBdr>
        </w:div>
        <w:div w:id="1149978637">
          <w:marLeft w:val="0"/>
          <w:marRight w:val="0"/>
          <w:marTop w:val="0"/>
          <w:marBottom w:val="0"/>
          <w:divBdr>
            <w:top w:val="none" w:sz="0" w:space="0" w:color="auto"/>
            <w:left w:val="none" w:sz="0" w:space="0" w:color="auto"/>
            <w:bottom w:val="none" w:sz="0" w:space="0" w:color="auto"/>
            <w:right w:val="none" w:sz="0" w:space="0" w:color="auto"/>
          </w:divBdr>
        </w:div>
        <w:div w:id="773329245">
          <w:marLeft w:val="0"/>
          <w:marRight w:val="0"/>
          <w:marTop w:val="0"/>
          <w:marBottom w:val="0"/>
          <w:divBdr>
            <w:top w:val="none" w:sz="0" w:space="0" w:color="auto"/>
            <w:left w:val="none" w:sz="0" w:space="0" w:color="auto"/>
            <w:bottom w:val="none" w:sz="0" w:space="0" w:color="auto"/>
            <w:right w:val="none" w:sz="0" w:space="0" w:color="auto"/>
          </w:divBdr>
        </w:div>
      </w:divsChild>
    </w:div>
    <w:div w:id="1062750075">
      <w:bodyDiv w:val="1"/>
      <w:marLeft w:val="0"/>
      <w:marRight w:val="0"/>
      <w:marTop w:val="0"/>
      <w:marBottom w:val="0"/>
      <w:divBdr>
        <w:top w:val="none" w:sz="0" w:space="0" w:color="auto"/>
        <w:left w:val="none" w:sz="0" w:space="0" w:color="auto"/>
        <w:bottom w:val="none" w:sz="0" w:space="0" w:color="auto"/>
        <w:right w:val="none" w:sz="0" w:space="0" w:color="auto"/>
      </w:divBdr>
    </w:div>
    <w:div w:id="1358577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1</Pages>
  <Words>2820</Words>
  <Characters>15511</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CLEMENTE</dc:creator>
  <cp:keywords/>
  <dc:description/>
  <cp:lastModifiedBy>FRANK CLEMENTE</cp:lastModifiedBy>
  <cp:revision>4</cp:revision>
  <dcterms:created xsi:type="dcterms:W3CDTF">2026-07-18T04:39:00Z</dcterms:created>
  <dcterms:modified xsi:type="dcterms:W3CDTF">2026-07-18T19:10:00Z</dcterms:modified>
</cp:coreProperties>
</file>