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BEA" w:rsidRPr="002E00A3" w:rsidRDefault="002E00A3">
      <w:pPr>
        <w:pStyle w:val="Ttulo1"/>
        <w:spacing w:before="240" w:after="120"/>
        <w:rPr>
          <w:lang w:val="es-419"/>
        </w:rPr>
      </w:pPr>
      <w:r w:rsidRPr="002E00A3">
        <w:rPr>
          <w:color w:val="1A365D"/>
          <w:sz w:val="40"/>
          <w:lang w:val="es-419"/>
        </w:rPr>
        <w:t>TRATADO ACADÉMICO: DOCUMENTACIÓN COMERCIAL Y TÍTULOS VALORES</w:t>
      </w: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MÓDULO 9: DOCUMENTACIÓN COMERCIAL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b/>
          <w:lang w:val="es-419"/>
        </w:rPr>
        <w:t>Elaborado por:</w:t>
      </w:r>
      <w:r w:rsidRPr="002E00A3">
        <w:rPr>
          <w:lang w:val="es-419"/>
        </w:rPr>
        <w:t xml:space="preserve"> </w:t>
      </w:r>
      <w:proofErr w:type="spellStart"/>
      <w:r w:rsidRPr="002E00A3">
        <w:rPr>
          <w:lang w:val="es-419"/>
        </w:rPr>
        <w:t>MSc</w:t>
      </w:r>
      <w:proofErr w:type="spellEnd"/>
      <w:r w:rsidRPr="002E00A3">
        <w:rPr>
          <w:lang w:val="es-419"/>
        </w:rPr>
        <w:t>. Frank Clemente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b/>
          <w:lang w:val="es-419"/>
        </w:rPr>
        <w:t>Cátedra:</w:t>
      </w:r>
      <w:r w:rsidRPr="002E00A3">
        <w:rPr>
          <w:lang w:val="es-419"/>
        </w:rPr>
        <w:t xml:space="preserve"> Contabilidad Financiera y Derecho Mercantil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b/>
          <w:lang w:val="es-419"/>
        </w:rPr>
        <w:t>Nivel:</w:t>
      </w:r>
      <w:r w:rsidRPr="002E00A3">
        <w:rPr>
          <w:lang w:val="es-419"/>
        </w:rPr>
        <w:t xml:space="preserve"> Universitario / Posgrado (Diplomado en Contabilidad Financiera)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b/>
          <w:lang w:val="es-419"/>
        </w:rPr>
        <w:t>Institución:</w:t>
      </w:r>
      <w:r w:rsidRPr="002E00A3">
        <w:rPr>
          <w:lang w:val="es-419"/>
        </w:rPr>
        <w:t xml:space="preserve"> Universidad Católica Santa Rosa (UCSAR)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INTRODUCCIÓN Y FUNDAMENTACIÓN TEÓRICO-DOCTRINAL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El estudio de la documentación comercial constituye el nexo fundamental entre la teoría del derecho mercantil, la ciencia contable y la </w:t>
      </w:r>
      <w:proofErr w:type="spellStart"/>
      <w:r w:rsidRPr="002E00A3">
        <w:rPr>
          <w:lang w:val="es-419"/>
        </w:rPr>
        <w:t>praxeología</w:t>
      </w:r>
      <w:proofErr w:type="spellEnd"/>
      <w:r w:rsidRPr="002E00A3">
        <w:rPr>
          <w:lang w:val="es-419"/>
        </w:rPr>
        <w:t xml:space="preserve"> financ</w:t>
      </w:r>
      <w:r w:rsidRPr="002E00A3">
        <w:rPr>
          <w:lang w:val="es-419"/>
        </w:rPr>
        <w:t xml:space="preserve">iera. La doctrina jurídica universal, encabezada por tratadistas de la talla de </w:t>
      </w:r>
      <w:r w:rsidRPr="002E00A3">
        <w:rPr>
          <w:b/>
          <w:lang w:val="es-419"/>
        </w:rPr>
        <w:t xml:space="preserve">Cesare </w:t>
      </w:r>
      <w:proofErr w:type="spellStart"/>
      <w:r w:rsidRPr="002E00A3">
        <w:rPr>
          <w:b/>
          <w:lang w:val="es-419"/>
        </w:rPr>
        <w:t>Vivante</w:t>
      </w:r>
      <w:proofErr w:type="spellEnd"/>
      <w:r w:rsidRPr="002E00A3">
        <w:rPr>
          <w:lang w:val="es-419"/>
        </w:rPr>
        <w:t xml:space="preserve">, </w:t>
      </w:r>
      <w:r w:rsidRPr="002E00A3">
        <w:rPr>
          <w:b/>
          <w:lang w:val="es-419"/>
        </w:rPr>
        <w:t xml:space="preserve">Joaquín </w:t>
      </w:r>
      <w:proofErr w:type="spellStart"/>
      <w:r w:rsidRPr="002E00A3">
        <w:rPr>
          <w:b/>
          <w:lang w:val="es-419"/>
        </w:rPr>
        <w:t>Garrigues</w:t>
      </w:r>
      <w:proofErr w:type="spellEnd"/>
      <w:r w:rsidRPr="002E00A3">
        <w:rPr>
          <w:lang w:val="es-419"/>
        </w:rPr>
        <w:t xml:space="preserve">, </w:t>
      </w:r>
      <w:r w:rsidRPr="002E00A3">
        <w:rPr>
          <w:b/>
          <w:lang w:val="es-419"/>
        </w:rPr>
        <w:t xml:space="preserve">Manuel </w:t>
      </w:r>
      <w:proofErr w:type="spellStart"/>
      <w:r w:rsidRPr="002E00A3">
        <w:rPr>
          <w:b/>
          <w:lang w:val="es-419"/>
        </w:rPr>
        <w:t>Broseta</w:t>
      </w:r>
      <w:proofErr w:type="spellEnd"/>
      <w:r w:rsidRPr="002E00A3">
        <w:rPr>
          <w:b/>
          <w:lang w:val="es-419"/>
        </w:rPr>
        <w:t xml:space="preserve"> Pont</w:t>
      </w:r>
      <w:r w:rsidRPr="002E00A3">
        <w:rPr>
          <w:lang w:val="es-419"/>
        </w:rPr>
        <w:t xml:space="preserve">, </w:t>
      </w:r>
      <w:r w:rsidRPr="002E00A3">
        <w:rPr>
          <w:b/>
          <w:lang w:val="es-419"/>
        </w:rPr>
        <w:t xml:space="preserve">Francesco </w:t>
      </w:r>
      <w:proofErr w:type="spellStart"/>
      <w:r w:rsidRPr="002E00A3">
        <w:rPr>
          <w:b/>
          <w:lang w:val="es-419"/>
        </w:rPr>
        <w:t>Messineo</w:t>
      </w:r>
      <w:proofErr w:type="spellEnd"/>
      <w:r w:rsidRPr="002E00A3">
        <w:rPr>
          <w:lang w:val="es-419"/>
        </w:rPr>
        <w:t xml:space="preserve"> y </w:t>
      </w:r>
      <w:proofErr w:type="spellStart"/>
      <w:r w:rsidRPr="002E00A3">
        <w:rPr>
          <w:b/>
          <w:lang w:val="es-419"/>
        </w:rPr>
        <w:t>Tullio</w:t>
      </w:r>
      <w:proofErr w:type="spellEnd"/>
      <w:r w:rsidRPr="002E00A3">
        <w:rPr>
          <w:b/>
          <w:lang w:val="es-419"/>
        </w:rPr>
        <w:t xml:space="preserve"> </w:t>
      </w:r>
      <w:proofErr w:type="spellStart"/>
      <w:r w:rsidRPr="002E00A3">
        <w:rPr>
          <w:b/>
          <w:lang w:val="es-419"/>
        </w:rPr>
        <w:t>Ascarelli</w:t>
      </w:r>
      <w:proofErr w:type="spellEnd"/>
      <w:r w:rsidRPr="002E00A3">
        <w:rPr>
          <w:lang w:val="es-419"/>
        </w:rPr>
        <w:t>, ha teorizado exhaustivamente sobre la naturaleza dual de los documentos comercial</w:t>
      </w:r>
      <w:r w:rsidRPr="002E00A3">
        <w:rPr>
          <w:lang w:val="es-419"/>
        </w:rPr>
        <w:t xml:space="preserve">es: como </w:t>
      </w:r>
      <w:r w:rsidRPr="002E00A3">
        <w:rPr>
          <w:b/>
          <w:lang w:val="es-419"/>
        </w:rPr>
        <w:t>instrumentos probatorios del negocio jurídico subyacente</w:t>
      </w:r>
      <w:r w:rsidRPr="002E00A3">
        <w:rPr>
          <w:lang w:val="es-419"/>
        </w:rPr>
        <w:t xml:space="preserve"> y como </w:t>
      </w:r>
      <w:r w:rsidRPr="002E00A3">
        <w:rPr>
          <w:b/>
          <w:lang w:val="es-419"/>
        </w:rPr>
        <w:t>mecanismos autónomos de circulación de riqueza</w:t>
      </w:r>
      <w:r w:rsidRPr="002E00A3">
        <w:rPr>
          <w:lang w:val="es-419"/>
        </w:rPr>
        <w:t>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De acuerdo con </w:t>
      </w:r>
      <w:r w:rsidRPr="002E00A3">
        <w:rPr>
          <w:b/>
          <w:lang w:val="es-419"/>
        </w:rPr>
        <w:t xml:space="preserve">Cesare </w:t>
      </w:r>
      <w:proofErr w:type="spellStart"/>
      <w:r w:rsidRPr="002E00A3">
        <w:rPr>
          <w:b/>
          <w:lang w:val="es-419"/>
        </w:rPr>
        <w:t>Vivante</w:t>
      </w:r>
      <w:proofErr w:type="spellEnd"/>
      <w:r w:rsidRPr="002E00A3">
        <w:rPr>
          <w:lang w:val="es-419"/>
        </w:rPr>
        <w:t xml:space="preserve"> (</w:t>
      </w:r>
      <w:proofErr w:type="spellStart"/>
      <w:r w:rsidRPr="002E00A3">
        <w:rPr>
          <w:i/>
          <w:lang w:val="es-419"/>
        </w:rPr>
        <w:t>Trattato</w:t>
      </w:r>
      <w:proofErr w:type="spellEnd"/>
      <w:r w:rsidRPr="002E00A3">
        <w:rPr>
          <w:i/>
          <w:lang w:val="es-419"/>
        </w:rPr>
        <w:t xml:space="preserve"> di </w:t>
      </w:r>
      <w:proofErr w:type="spellStart"/>
      <w:r w:rsidRPr="002E00A3">
        <w:rPr>
          <w:i/>
          <w:lang w:val="es-419"/>
        </w:rPr>
        <w:t>Diritto</w:t>
      </w:r>
      <w:proofErr w:type="spellEnd"/>
      <w:r w:rsidRPr="002E00A3">
        <w:rPr>
          <w:i/>
          <w:lang w:val="es-419"/>
        </w:rPr>
        <w:t xml:space="preserve"> </w:t>
      </w:r>
      <w:proofErr w:type="spellStart"/>
      <w:r w:rsidRPr="002E00A3">
        <w:rPr>
          <w:i/>
          <w:lang w:val="es-419"/>
        </w:rPr>
        <w:t>Commerciale</w:t>
      </w:r>
      <w:proofErr w:type="spellEnd"/>
      <w:r w:rsidRPr="002E00A3">
        <w:rPr>
          <w:lang w:val="es-419"/>
        </w:rPr>
        <w:t xml:space="preserve">), el título valor es </w:t>
      </w:r>
      <w:r w:rsidRPr="002E00A3">
        <w:rPr>
          <w:i/>
          <w:lang w:val="es-419"/>
        </w:rPr>
        <w:t>"aquel documento necesario para ejercitar el derech</w:t>
      </w:r>
      <w:r w:rsidRPr="002E00A3">
        <w:rPr>
          <w:i/>
          <w:lang w:val="es-419"/>
        </w:rPr>
        <w:t>o literal y autónomo expresado en él"</w:t>
      </w:r>
      <w:r w:rsidRPr="002E00A3">
        <w:rPr>
          <w:lang w:val="es-419"/>
        </w:rPr>
        <w:t>. Esta definición clásica consagra los tres principios axiológicos que fundamentan la circulación de los documentos negociables: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Literalidad:</w:t>
      </w:r>
      <w:r w:rsidRPr="002E00A3">
        <w:rPr>
          <w:lang w:val="es-419"/>
        </w:rPr>
        <w:t xml:space="preserve"> La dimensión y los límites del derecho están estrictamente delimitados por el</w:t>
      </w:r>
      <w:r w:rsidRPr="002E00A3">
        <w:rPr>
          <w:lang w:val="es-419"/>
        </w:rPr>
        <w:t xml:space="preserve"> texto escrito en el documento.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Autonomía:</w:t>
      </w:r>
      <w:r w:rsidRPr="002E00A3">
        <w:rPr>
          <w:lang w:val="es-419"/>
        </w:rPr>
        <w:t xml:space="preserve"> Cada poseedor de buena fe adquiere un derecho originario, independiente de las relaciones personales que hayan existido entre los anteriores tenedores y el deudor.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Incorporación:</w:t>
      </w:r>
      <w:r w:rsidRPr="002E00A3">
        <w:rPr>
          <w:lang w:val="es-419"/>
        </w:rPr>
        <w:t xml:space="preserve"> El derecho patrimonial se halla in</w:t>
      </w:r>
      <w:r w:rsidRPr="002E00A3">
        <w:rPr>
          <w:lang w:val="es-419"/>
        </w:rPr>
        <w:t>disolublemente ligado a la propiedad del soporte material del título (la cosa corporal contiene la cosa incorporal).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Por su parte, </w:t>
      </w:r>
      <w:r w:rsidRPr="002E00A3">
        <w:rPr>
          <w:b/>
          <w:lang w:val="es-419"/>
        </w:rPr>
        <w:t xml:space="preserve">Joaquín </w:t>
      </w:r>
      <w:proofErr w:type="spellStart"/>
      <w:r w:rsidRPr="002E00A3">
        <w:rPr>
          <w:b/>
          <w:lang w:val="es-419"/>
        </w:rPr>
        <w:t>Garrigues</w:t>
      </w:r>
      <w:proofErr w:type="spellEnd"/>
      <w:r w:rsidRPr="002E00A3">
        <w:rPr>
          <w:lang w:val="es-419"/>
        </w:rPr>
        <w:t xml:space="preserve"> (</w:t>
      </w:r>
      <w:r w:rsidRPr="002E00A3">
        <w:rPr>
          <w:i/>
          <w:lang w:val="es-419"/>
        </w:rPr>
        <w:t>Curso de Derecho Mercantil</w:t>
      </w:r>
      <w:r w:rsidRPr="002E00A3">
        <w:rPr>
          <w:lang w:val="es-419"/>
        </w:rPr>
        <w:t xml:space="preserve">) establece la distinción epistemológica entre </w:t>
      </w:r>
      <w:r w:rsidRPr="002E00A3">
        <w:rPr>
          <w:b/>
          <w:lang w:val="es-419"/>
        </w:rPr>
        <w:t>documentos constitutivo-negociabl</w:t>
      </w:r>
      <w:r w:rsidRPr="002E00A3">
        <w:rPr>
          <w:b/>
          <w:lang w:val="es-419"/>
        </w:rPr>
        <w:t>es</w:t>
      </w:r>
      <w:r w:rsidRPr="002E00A3">
        <w:rPr>
          <w:lang w:val="es-419"/>
        </w:rPr>
        <w:t xml:space="preserve"> (aquellos cuyo nacimiento crea la obligación cambiaria y permiten la transferencia del crédito) y </w:t>
      </w:r>
      <w:r w:rsidRPr="002E00A3">
        <w:rPr>
          <w:b/>
          <w:lang w:val="es-419"/>
        </w:rPr>
        <w:t>documentos meramente probatorios no negociables</w:t>
      </w:r>
      <w:r w:rsidRPr="002E00A3">
        <w:rPr>
          <w:lang w:val="es-419"/>
        </w:rPr>
        <w:t xml:space="preserve"> (aquellos destinados a dejar constancia del cumplimiento o ejecución de una prestación en el tráfico ordina</w:t>
      </w:r>
      <w:r w:rsidRPr="002E00A3">
        <w:rPr>
          <w:lang w:val="es-419"/>
        </w:rPr>
        <w:t>rio, carentes de ejecutoriedad cambiaria propia).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A continuación, se desarrolla de manera exhaustiva el temario programático del Módulo IX bajo este rigor doctrinario, normativo y contable.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1"/>
        <w:spacing w:before="240" w:after="120"/>
        <w:rPr>
          <w:lang w:val="es-419"/>
        </w:rPr>
      </w:pPr>
      <w:r w:rsidRPr="002E00A3">
        <w:rPr>
          <w:color w:val="1A365D"/>
          <w:sz w:val="40"/>
          <w:lang w:val="es-419"/>
        </w:rPr>
        <w:lastRenderedPageBreak/>
        <w:t>UNIDAD DIDÁCTICA 1. DOCUMENTOS COMERCIALES NEGOCIABLES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Los docume</w:t>
      </w:r>
      <w:r w:rsidRPr="002E00A3">
        <w:rPr>
          <w:lang w:val="es-419"/>
        </w:rPr>
        <w:t xml:space="preserve">ntos comerciales negociables son instrumentos financieros representativos de un derecho de crédito o de una suma de dinero, estructurados legalmente para circular en el mercado comercial e interbancario mediante el </w:t>
      </w:r>
      <w:r w:rsidRPr="002E00A3">
        <w:rPr>
          <w:b/>
          <w:lang w:val="es-419"/>
        </w:rPr>
        <w:t>endoso</w:t>
      </w:r>
      <w:r w:rsidRPr="002E00A3">
        <w:rPr>
          <w:lang w:val="es-419"/>
        </w:rPr>
        <w:t xml:space="preserve"> o la </w:t>
      </w:r>
      <w:r w:rsidRPr="002E00A3">
        <w:rPr>
          <w:b/>
          <w:lang w:val="es-419"/>
        </w:rPr>
        <w:t>cesión de derechos</w:t>
      </w:r>
      <w:r w:rsidRPr="002E00A3">
        <w:rPr>
          <w:lang w:val="es-419"/>
        </w:rPr>
        <w:t>, transmiti</w:t>
      </w:r>
      <w:r w:rsidRPr="002E00A3">
        <w:rPr>
          <w:lang w:val="es-419"/>
        </w:rPr>
        <w:t>endo la titularidad del crédito incorporado con plenas garantías ejecutivas.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1. TRANSFERENCIAS BANCARIAS Y ELECTRÓNICAS DE FONDOS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1.1 Definición Teórico-Doctrinal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Desde la perspectiva de la teoría monetaria y bancaria (</w:t>
      </w:r>
      <w:proofErr w:type="spellStart"/>
      <w:r w:rsidRPr="002E00A3">
        <w:rPr>
          <w:b/>
          <w:lang w:val="es-419"/>
        </w:rPr>
        <w:t>Messineo</w:t>
      </w:r>
      <w:proofErr w:type="spellEnd"/>
      <w:r w:rsidRPr="002E00A3">
        <w:rPr>
          <w:lang w:val="es-419"/>
        </w:rPr>
        <w:t>, 1954), la transferencia ba</w:t>
      </w:r>
      <w:r w:rsidRPr="002E00A3">
        <w:rPr>
          <w:lang w:val="es-419"/>
        </w:rPr>
        <w:t xml:space="preserve">ncaria es una </w:t>
      </w:r>
      <w:r w:rsidRPr="002E00A3">
        <w:rPr>
          <w:b/>
          <w:lang w:val="es-419"/>
        </w:rPr>
        <w:t>operación de pago mediante la cual el titular de una cuenta corriente (ordenante) instruye a su entidad financiera para que desplace una determinada suma de dinero de su patrimonio hacia la cuenta de un tercero (beneficiario)</w:t>
      </w:r>
      <w:r w:rsidRPr="002E00A3">
        <w:rPr>
          <w:lang w:val="es-419"/>
        </w:rPr>
        <w:t>, bien en la mism</w:t>
      </w:r>
      <w:r w:rsidRPr="002E00A3">
        <w:rPr>
          <w:lang w:val="es-419"/>
        </w:rPr>
        <w:t>a entidad o en otra distinta.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Doctrinariamente, la transferencia no constituye un título valor material, sino un </w:t>
      </w:r>
      <w:r w:rsidRPr="002E00A3">
        <w:rPr>
          <w:b/>
          <w:lang w:val="es-419"/>
        </w:rPr>
        <w:t>mecanismo de delegación o novación abreviada de pago electrónica</w:t>
      </w:r>
      <w:r w:rsidRPr="002E00A3">
        <w:rPr>
          <w:lang w:val="es-419"/>
        </w:rPr>
        <w:t>. No genera la emisión de un papel que circula por endoso, sino que opera media</w:t>
      </w:r>
      <w:r w:rsidRPr="002E00A3">
        <w:rPr>
          <w:lang w:val="es-419"/>
        </w:rPr>
        <w:t>nte la afectación simultánea o diferida de asientos de contabilidad bancaria (débito en la cuenta del ordenante y crédito en la cuenta del beneficiario).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1.2 Tipos de Transferencias Bancarias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En el tráfico mercantil moderno, las transferencias se </w:t>
      </w:r>
      <w:r w:rsidRPr="002E00A3">
        <w:rPr>
          <w:lang w:val="es-419"/>
        </w:rPr>
        <w:t>clasifican según diversos criterios jurídicos, operativos y geográficos: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4BEA">
        <w:trPr>
          <w:jc w:val="center"/>
        </w:trPr>
        <w:tc>
          <w:tcPr>
            <w:tcW w:w="312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b/>
                <w:color w:val="FFFFFF"/>
              </w:rPr>
              <w:t>Criterio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Clasificación</w:t>
            </w:r>
            <w:proofErr w:type="spellEnd"/>
          </w:p>
        </w:tc>
        <w:tc>
          <w:tcPr>
            <w:tcW w:w="312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b/>
                <w:color w:val="FFFFFF"/>
              </w:rPr>
              <w:t>Tipo de Transferencia</w:t>
            </w:r>
          </w:p>
        </w:tc>
        <w:tc>
          <w:tcPr>
            <w:tcW w:w="312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b/>
                <w:color w:val="FFFFFF"/>
              </w:rPr>
              <w:t>Descripción y Naturaleza Jurídica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Ámbito Institucional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Intrabancaria (Interna)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 xml:space="preserve">El traspaso se efectúa entre cuentas abiertas en la </w:t>
            </w:r>
            <w:r w:rsidRPr="002E00A3">
              <w:rPr>
                <w:sz w:val="19"/>
                <w:lang w:val="es-419"/>
              </w:rPr>
              <w:t>misma institución financiera. Su liquidación es instantánea y no requiere la intervención del banco central.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BE4BEA">
            <w:pPr>
              <w:spacing w:before="40" w:after="40"/>
              <w:rPr>
                <w:lang w:val="es-419"/>
              </w:rPr>
            </w:pP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Interbancaria</w:t>
            </w:r>
            <w:proofErr w:type="spellEnd"/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Movimiento entre cuentas de distintas entidades bancarias. Exige la mediación de la Cámara de Compensación Electrónica (CCE) o el S</w:t>
            </w:r>
            <w:r w:rsidRPr="002E00A3">
              <w:rPr>
                <w:sz w:val="19"/>
                <w:lang w:val="es-419"/>
              </w:rPr>
              <w:t>istema de Pagos del Banco Central.</w:t>
            </w:r>
          </w:p>
        </w:tc>
      </w:tr>
      <w:tr w:rsidR="00BE4BEA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Ámbito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Geográfico</w:t>
            </w:r>
            <w:proofErr w:type="spellEnd"/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Nacional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 w:rsidRPr="002E00A3">
              <w:rPr>
                <w:sz w:val="19"/>
                <w:lang w:val="es-419"/>
              </w:rPr>
              <w:t xml:space="preserve">Ejecutada dentro de las fronteras </w:t>
            </w:r>
            <w:r w:rsidRPr="002E00A3">
              <w:rPr>
                <w:sz w:val="19"/>
                <w:lang w:val="es-419"/>
              </w:rPr>
              <w:lastRenderedPageBreak/>
              <w:t xml:space="preserve">territoriales del Estado bajo la regulación del Banco Central y el marco legal monetario local (ej. </w:t>
            </w:r>
            <w:r>
              <w:rPr>
                <w:sz w:val="19"/>
              </w:rPr>
              <w:t xml:space="preserve">Sistema BCV/SUDEBAN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Venezuela).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BE4BEA">
            <w:pPr>
              <w:spacing w:before="40" w:after="40"/>
            </w:pP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 xml:space="preserve">Internacional </w:t>
            </w:r>
            <w:r>
              <w:rPr>
                <w:sz w:val="19"/>
              </w:rPr>
              <w:t>(Transfronteriza)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Movilización de divisas o moneda nacional entre entidades de distintos países. Utiliza la red de telecomunicaciones financieras interbancarias SWIFT (*</w:t>
            </w:r>
            <w:proofErr w:type="spellStart"/>
            <w:r w:rsidRPr="002E00A3">
              <w:rPr>
                <w:sz w:val="19"/>
                <w:lang w:val="es-419"/>
              </w:rPr>
              <w:t>Society</w:t>
            </w:r>
            <w:proofErr w:type="spellEnd"/>
            <w:r w:rsidRPr="002E00A3">
              <w:rPr>
                <w:sz w:val="19"/>
                <w:lang w:val="es-419"/>
              </w:rPr>
              <w:t xml:space="preserve"> </w:t>
            </w:r>
            <w:proofErr w:type="spellStart"/>
            <w:r w:rsidRPr="002E00A3">
              <w:rPr>
                <w:sz w:val="19"/>
                <w:lang w:val="es-419"/>
              </w:rPr>
              <w:t>for</w:t>
            </w:r>
            <w:proofErr w:type="spellEnd"/>
            <w:r w:rsidRPr="002E00A3">
              <w:rPr>
                <w:sz w:val="19"/>
                <w:lang w:val="es-419"/>
              </w:rPr>
              <w:t xml:space="preserve"> </w:t>
            </w:r>
            <w:proofErr w:type="spellStart"/>
            <w:r w:rsidRPr="002E00A3">
              <w:rPr>
                <w:sz w:val="19"/>
                <w:lang w:val="es-419"/>
              </w:rPr>
              <w:t>Worldwide</w:t>
            </w:r>
            <w:proofErr w:type="spellEnd"/>
            <w:r w:rsidRPr="002E00A3">
              <w:rPr>
                <w:sz w:val="19"/>
                <w:lang w:val="es-419"/>
              </w:rPr>
              <w:t xml:space="preserve"> </w:t>
            </w:r>
            <w:proofErr w:type="spellStart"/>
            <w:r w:rsidRPr="002E00A3">
              <w:rPr>
                <w:sz w:val="19"/>
                <w:lang w:val="es-419"/>
              </w:rPr>
              <w:t>Interbank</w:t>
            </w:r>
            <w:proofErr w:type="spellEnd"/>
            <w:r w:rsidRPr="002E00A3">
              <w:rPr>
                <w:sz w:val="19"/>
                <w:lang w:val="es-419"/>
              </w:rPr>
              <w:t xml:space="preserve"> </w:t>
            </w:r>
            <w:proofErr w:type="spellStart"/>
            <w:r w:rsidRPr="002E00A3">
              <w:rPr>
                <w:sz w:val="19"/>
                <w:lang w:val="es-419"/>
              </w:rPr>
              <w:t>Financial</w:t>
            </w:r>
            <w:proofErr w:type="spellEnd"/>
            <w:r w:rsidRPr="002E00A3">
              <w:rPr>
                <w:sz w:val="19"/>
                <w:lang w:val="es-419"/>
              </w:rPr>
              <w:t xml:space="preserve"> </w:t>
            </w:r>
            <w:proofErr w:type="spellStart"/>
            <w:r w:rsidRPr="002E00A3">
              <w:rPr>
                <w:sz w:val="19"/>
                <w:lang w:val="es-419"/>
              </w:rPr>
              <w:t>Telecommunication</w:t>
            </w:r>
            <w:proofErr w:type="spellEnd"/>
            <w:r w:rsidRPr="002E00A3">
              <w:rPr>
                <w:sz w:val="19"/>
                <w:lang w:val="es-419"/>
              </w:rPr>
              <w:t>*).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Velocidad y Tiempo de L</w:t>
            </w:r>
            <w:r w:rsidRPr="002E00A3">
              <w:rPr>
                <w:sz w:val="19"/>
                <w:lang w:val="es-419"/>
              </w:rPr>
              <w:t>iquidación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Ordinaria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Diferida</w:t>
            </w:r>
            <w:proofErr w:type="spellEnd"/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La acreditación de los fondos en la cuenta destino está sujeta al ciclo habitual de compensación (normalmente 24 a 48 horas hábiles).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BE4BEA">
            <w:pPr>
              <w:spacing w:before="40" w:after="40"/>
              <w:rPr>
                <w:lang w:val="es-419"/>
              </w:rPr>
            </w:pP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Inmediata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Tiempo</w:t>
            </w:r>
            <w:proofErr w:type="spellEnd"/>
            <w:r>
              <w:rPr>
                <w:sz w:val="19"/>
              </w:rPr>
              <w:t xml:space="preserve"> Real (RTGS)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 xml:space="preserve">Liquidación Bruta en Tiempo Real (*Real-Time </w:t>
            </w:r>
            <w:proofErr w:type="spellStart"/>
            <w:r w:rsidRPr="002E00A3">
              <w:rPr>
                <w:sz w:val="19"/>
                <w:lang w:val="es-419"/>
              </w:rPr>
              <w:t>Gross</w:t>
            </w:r>
            <w:proofErr w:type="spellEnd"/>
            <w:r w:rsidRPr="002E00A3">
              <w:rPr>
                <w:sz w:val="19"/>
                <w:lang w:val="es-419"/>
              </w:rPr>
              <w:t xml:space="preserve"> </w:t>
            </w:r>
            <w:proofErr w:type="spellStart"/>
            <w:r w:rsidRPr="002E00A3">
              <w:rPr>
                <w:sz w:val="19"/>
                <w:lang w:val="es-419"/>
              </w:rPr>
              <w:t>Settlement</w:t>
            </w:r>
            <w:proofErr w:type="spellEnd"/>
            <w:r w:rsidRPr="002E00A3">
              <w:rPr>
                <w:sz w:val="19"/>
                <w:lang w:val="es-419"/>
              </w:rPr>
              <w:t>*). En Venezuela, incluye las plataformas de Pago Móvil (P2P, P2C, C2P) y transferencias inmediatas interbancarias.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Grado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Automatización</w:t>
            </w:r>
            <w:proofErr w:type="spellEnd"/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Individual (Puntual)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Instrucción única ejecutada a requerimiento explícito del cliente para un pago espec</w:t>
            </w:r>
            <w:r w:rsidRPr="002E00A3">
              <w:rPr>
                <w:sz w:val="19"/>
                <w:lang w:val="es-419"/>
              </w:rPr>
              <w:t>ífico.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BE4BEA">
            <w:pPr>
              <w:spacing w:before="40" w:after="40"/>
              <w:rPr>
                <w:lang w:val="es-419"/>
              </w:rPr>
            </w:pP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Masiva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Programada</w:t>
            </w:r>
            <w:proofErr w:type="spellEnd"/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Carga de archivos de datos estructurados para pagos automatizados de nómina, proveedores o cobro de servicios domiciliados.</w:t>
            </w:r>
          </w:p>
        </w:tc>
      </w:tr>
    </w:tbl>
    <w:p w:rsidR="00BE4BEA" w:rsidRPr="002E00A3" w:rsidRDefault="00BE4BEA">
      <w:pPr>
        <w:spacing w:after="120"/>
        <w:rPr>
          <w:lang w:val="es-419"/>
        </w:rPr>
      </w:pP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2. LA LETRA DE CAMBIO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2.1 Definición Doctrinal y Características Cambiarias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La </w:t>
      </w:r>
      <w:r w:rsidRPr="002E00A3">
        <w:rPr>
          <w:b/>
          <w:lang w:val="es-419"/>
        </w:rPr>
        <w:t>Letra de Cambio</w:t>
      </w:r>
      <w:r w:rsidRPr="002E00A3">
        <w:rPr>
          <w:lang w:val="es-419"/>
        </w:rPr>
        <w:t xml:space="preserve"> es el título valor por excelencia. Según </w:t>
      </w:r>
      <w:proofErr w:type="spellStart"/>
      <w:r w:rsidRPr="002E00A3">
        <w:rPr>
          <w:b/>
          <w:lang w:val="es-419"/>
        </w:rPr>
        <w:t>Tullio</w:t>
      </w:r>
      <w:proofErr w:type="spellEnd"/>
      <w:r w:rsidRPr="002E00A3">
        <w:rPr>
          <w:b/>
          <w:lang w:val="es-419"/>
        </w:rPr>
        <w:t xml:space="preserve"> </w:t>
      </w:r>
      <w:proofErr w:type="spellStart"/>
      <w:r w:rsidRPr="002E00A3">
        <w:rPr>
          <w:b/>
          <w:lang w:val="es-419"/>
        </w:rPr>
        <w:t>Ascarelli</w:t>
      </w:r>
      <w:proofErr w:type="spellEnd"/>
      <w:r w:rsidRPr="002E00A3">
        <w:rPr>
          <w:lang w:val="es-419"/>
        </w:rPr>
        <w:t xml:space="preserve"> (</w:t>
      </w:r>
      <w:proofErr w:type="spellStart"/>
      <w:r w:rsidRPr="002E00A3">
        <w:rPr>
          <w:i/>
          <w:lang w:val="es-419"/>
        </w:rPr>
        <w:t>Teoria</w:t>
      </w:r>
      <w:proofErr w:type="spellEnd"/>
      <w:r w:rsidRPr="002E00A3">
        <w:rPr>
          <w:i/>
          <w:lang w:val="es-419"/>
        </w:rPr>
        <w:t xml:space="preserve"> </w:t>
      </w:r>
      <w:proofErr w:type="spellStart"/>
      <w:r w:rsidRPr="002E00A3">
        <w:rPr>
          <w:i/>
          <w:lang w:val="es-419"/>
        </w:rPr>
        <w:t>Generale</w:t>
      </w:r>
      <w:proofErr w:type="spellEnd"/>
      <w:r w:rsidRPr="002E00A3">
        <w:rPr>
          <w:i/>
          <w:lang w:val="es-419"/>
        </w:rPr>
        <w:t xml:space="preserve"> </w:t>
      </w:r>
      <w:proofErr w:type="spellStart"/>
      <w:r w:rsidRPr="002E00A3">
        <w:rPr>
          <w:i/>
          <w:lang w:val="es-419"/>
        </w:rPr>
        <w:t>dei</w:t>
      </w:r>
      <w:proofErr w:type="spellEnd"/>
      <w:r w:rsidRPr="002E00A3">
        <w:rPr>
          <w:i/>
          <w:lang w:val="es-419"/>
        </w:rPr>
        <w:t xml:space="preserve"> </w:t>
      </w:r>
      <w:proofErr w:type="spellStart"/>
      <w:r w:rsidRPr="002E00A3">
        <w:rPr>
          <w:i/>
          <w:lang w:val="es-419"/>
        </w:rPr>
        <w:t>Titoli</w:t>
      </w:r>
      <w:proofErr w:type="spellEnd"/>
      <w:r w:rsidRPr="002E00A3">
        <w:rPr>
          <w:i/>
          <w:lang w:val="es-419"/>
        </w:rPr>
        <w:t xml:space="preserve"> di </w:t>
      </w:r>
      <w:proofErr w:type="spellStart"/>
      <w:r w:rsidRPr="002E00A3">
        <w:rPr>
          <w:i/>
          <w:lang w:val="es-419"/>
        </w:rPr>
        <w:t>Credito</w:t>
      </w:r>
      <w:proofErr w:type="spellEnd"/>
      <w:r w:rsidRPr="002E00A3">
        <w:rPr>
          <w:lang w:val="es-419"/>
        </w:rPr>
        <w:t xml:space="preserve">), se define como el </w:t>
      </w:r>
      <w:r w:rsidRPr="002E00A3">
        <w:rPr>
          <w:b/>
          <w:lang w:val="es-419"/>
        </w:rPr>
        <w:t xml:space="preserve">título de crédito formal y abstracto por el cual una persona llamada Librador o Emisor ordena incondicionalmente a otra llamada Librado o </w:t>
      </w:r>
      <w:r w:rsidRPr="002E00A3">
        <w:rPr>
          <w:b/>
          <w:lang w:val="es-419"/>
        </w:rPr>
        <w:t xml:space="preserve">Aceptante el pago de una </w:t>
      </w:r>
      <w:r w:rsidRPr="002E00A3">
        <w:rPr>
          <w:b/>
          <w:lang w:val="es-419"/>
        </w:rPr>
        <w:lastRenderedPageBreak/>
        <w:t>suma determinada de dinero a favor de un tercero denominado Beneficiario o Tenedor, en el lugar y plazo estipulados en el texto del documento</w:t>
      </w:r>
      <w:r w:rsidRPr="002E00A3">
        <w:rPr>
          <w:lang w:val="es-419"/>
        </w:rPr>
        <w:t>.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t>Principios Doctrinarios de la Letra de Cambio: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Rigor Cambiario (Abstracción):</w:t>
      </w:r>
      <w:r w:rsidRPr="002E00A3">
        <w:rPr>
          <w:lang w:val="es-419"/>
        </w:rPr>
        <w:t xml:space="preserve"> Una vez ac</w:t>
      </w:r>
      <w:r w:rsidRPr="002E00A3">
        <w:rPr>
          <w:lang w:val="es-419"/>
        </w:rPr>
        <w:t xml:space="preserve">eptada y puesta en circulación, la Letra de Cambio se desvincula de la *causa </w:t>
      </w:r>
      <w:proofErr w:type="spellStart"/>
      <w:r w:rsidRPr="002E00A3">
        <w:rPr>
          <w:lang w:val="es-419"/>
        </w:rPr>
        <w:t>debendi</w:t>
      </w:r>
      <w:proofErr w:type="spellEnd"/>
      <w:r w:rsidRPr="002E00A3">
        <w:rPr>
          <w:lang w:val="es-419"/>
        </w:rPr>
        <w:t>* (el contrato o negocio original que le dio origen). El aceptante no puede oponer al tenedor legítimo excepciones personales derivadas del contrato subyacente.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Fuerza Eje</w:t>
      </w:r>
      <w:r w:rsidRPr="002E00A3">
        <w:rPr>
          <w:b/>
          <w:lang w:val="es-419"/>
        </w:rPr>
        <w:t>cutiva:</w:t>
      </w:r>
      <w:r w:rsidRPr="002E00A3">
        <w:rPr>
          <w:lang w:val="es-419"/>
        </w:rPr>
        <w:t xml:space="preserve"> Otorga al tenedor la </w:t>
      </w:r>
      <w:r w:rsidRPr="002E00A3">
        <w:rPr>
          <w:b/>
          <w:lang w:val="es-419"/>
        </w:rPr>
        <w:t>Acción Cambiaria Directa</w:t>
      </w:r>
      <w:r w:rsidRPr="002E00A3">
        <w:rPr>
          <w:lang w:val="es-419"/>
        </w:rPr>
        <w:t xml:space="preserve"> (contra el aceptante y sus avalistas) y la </w:t>
      </w:r>
      <w:r w:rsidRPr="002E00A3">
        <w:rPr>
          <w:b/>
          <w:lang w:val="es-419"/>
        </w:rPr>
        <w:t>Acción Cambiaria de Regreso</w:t>
      </w:r>
      <w:r w:rsidRPr="002E00A3">
        <w:rPr>
          <w:lang w:val="es-419"/>
        </w:rPr>
        <w:t xml:space="preserve"> (contra el librador y los endosantes), permitiendo el embargo preventivo inmediato en vía judicial (Art. 410 y ss. del Código de Co</w:t>
      </w:r>
      <w:r w:rsidRPr="002E00A3">
        <w:rPr>
          <w:lang w:val="es-419"/>
        </w:rPr>
        <w:t>mercio de Venezuela).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2.2 Requisitos Formales Obligatorios (Art. 410 del Código de Comercio)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La omisión de cualquiera de estos requisitos acarrea la invalidez del documento como Letra de Cambio (transformándolo en un vale o documento privado simple):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La de</w:t>
      </w:r>
      <w:r w:rsidRPr="002E00A3">
        <w:rPr>
          <w:lang w:val="es-419"/>
        </w:rPr>
        <w:t>nominación "Letra de Cambio" inserta en el texto.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La orden pura y simple de pagar una cantidad determinada.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El nombre del que debe pagar (Librado / Aceptante).</w:t>
      </w:r>
    </w:p>
    <w:p w:rsidR="00BE4BEA" w:rsidRDefault="002E00A3">
      <w:pPr>
        <w:pStyle w:val="Listaconnmeros"/>
        <w:spacing w:after="60"/>
      </w:pPr>
      <w:r>
        <w:t xml:space="preserve">La </w:t>
      </w:r>
      <w:proofErr w:type="spellStart"/>
      <w:r>
        <w:t>indicación</w:t>
      </w:r>
      <w:proofErr w:type="spellEnd"/>
      <w:r>
        <w:t xml:space="preserve"> del </w:t>
      </w:r>
      <w:proofErr w:type="spellStart"/>
      <w:r>
        <w:t>vencimiento</w:t>
      </w:r>
      <w:proofErr w:type="spellEnd"/>
      <w:r>
        <w:t>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El lugar donde debe efectuarse el pago.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El nombre de la persona a</w:t>
      </w:r>
      <w:r w:rsidRPr="002E00A3">
        <w:rPr>
          <w:lang w:val="es-419"/>
        </w:rPr>
        <w:t xml:space="preserve"> quien o a cuya orden debe efectuarse el pago (Beneficiario).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La fecha y lugar en que la letra es emitida.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La firma del que emite la letra (Librador).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2.3 Tipos de Letras de Cambio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La doctrina y la legislación mercantil regulan diversas modalidades de Letr</w:t>
      </w:r>
      <w:r w:rsidRPr="002E00A3">
        <w:rPr>
          <w:lang w:val="es-419"/>
        </w:rPr>
        <w:t>as de Cambio atendiendo a dos criterios fundamentales: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t>A) Según la Forma de Vencimiento (Art. 441 del Código de Comercio):</w:t>
      </w:r>
    </w:p>
    <w:p w:rsidR="00BE4BEA" w:rsidRDefault="002E00A3">
      <w:pPr>
        <w:pStyle w:val="Listaconnmeros"/>
        <w:spacing w:after="60"/>
      </w:pPr>
      <w:r w:rsidRPr="002E00A3">
        <w:rPr>
          <w:b/>
          <w:lang w:val="es-419"/>
        </w:rPr>
        <w:t>A día fijo:</w:t>
      </w:r>
      <w:r w:rsidRPr="002E00A3">
        <w:rPr>
          <w:lang w:val="es-419"/>
        </w:rPr>
        <w:t xml:space="preserve"> Vence en la fecha exacta de calendario expresada en el título (ej. </w:t>
      </w:r>
      <w:r>
        <w:t xml:space="preserve">"El 15 de </w:t>
      </w:r>
      <w:proofErr w:type="spellStart"/>
      <w:r>
        <w:t>noviembre</w:t>
      </w:r>
      <w:proofErr w:type="spellEnd"/>
      <w:r>
        <w:t xml:space="preserve"> de 2026 pagará usted...").</w:t>
      </w:r>
    </w:p>
    <w:p w:rsidR="00BE4BEA" w:rsidRDefault="002E00A3">
      <w:pPr>
        <w:pStyle w:val="Listaconnmeros"/>
        <w:spacing w:after="60"/>
      </w:pPr>
      <w:r w:rsidRPr="002E00A3">
        <w:rPr>
          <w:b/>
          <w:lang w:val="es-419"/>
        </w:rPr>
        <w:t>A un pl</w:t>
      </w:r>
      <w:r w:rsidRPr="002E00A3">
        <w:rPr>
          <w:b/>
          <w:lang w:val="es-419"/>
        </w:rPr>
        <w:t>azo desde la fecha:</w:t>
      </w:r>
      <w:r w:rsidRPr="002E00A3">
        <w:rPr>
          <w:lang w:val="es-419"/>
        </w:rPr>
        <w:t xml:space="preserve"> Vence cumplido el término de días, meses o años contados desde la fecha de emisión (ej. </w:t>
      </w:r>
      <w:r>
        <w:t xml:space="preserve">"A 60 </w:t>
      </w:r>
      <w:proofErr w:type="spellStart"/>
      <w:r>
        <w:t>días</w:t>
      </w:r>
      <w:proofErr w:type="spellEnd"/>
      <w:r>
        <w:t xml:space="preserve"> vista/</w:t>
      </w:r>
      <w:proofErr w:type="spellStart"/>
      <w:r>
        <w:t>fecha</w:t>
      </w:r>
      <w:proofErr w:type="spellEnd"/>
      <w:r>
        <w:t xml:space="preserve"> pagará usted...").</w:t>
      </w:r>
    </w:p>
    <w:p w:rsidR="00BE4BEA" w:rsidRDefault="002E00A3">
      <w:pPr>
        <w:pStyle w:val="Listaconnmeros"/>
        <w:spacing w:after="60"/>
      </w:pPr>
      <w:r w:rsidRPr="002E00A3">
        <w:rPr>
          <w:b/>
          <w:lang w:val="es-419"/>
        </w:rPr>
        <w:t>A la vista:</w:t>
      </w:r>
      <w:r w:rsidRPr="002E00A3">
        <w:rPr>
          <w:lang w:val="es-419"/>
        </w:rPr>
        <w:t xml:space="preserve"> Vence en el momento exacto de su presentación al cobro frente al librado.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presentarse</w:t>
      </w:r>
      <w:proofErr w:type="spellEnd"/>
      <w:r>
        <w:t xml:space="preserve"> </w:t>
      </w:r>
      <w:proofErr w:type="spellStart"/>
      <w:r>
        <w:t>den</w:t>
      </w:r>
      <w:r>
        <w:t>tro</w:t>
      </w:r>
      <w:proofErr w:type="spellEnd"/>
      <w:r>
        <w:t xml:space="preserve"> del año posterior a su emisión.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A un plazo desde la vista:</w:t>
      </w:r>
      <w:r w:rsidRPr="002E00A3">
        <w:rPr>
          <w:lang w:val="es-419"/>
        </w:rPr>
        <w:t xml:space="preserve"> Vence cumplido el plazo pactado contado desde la fecha de la </w:t>
      </w:r>
      <w:r w:rsidRPr="002E00A3">
        <w:rPr>
          <w:b/>
          <w:lang w:val="es-419"/>
        </w:rPr>
        <w:t>Aceptación</w:t>
      </w:r>
      <w:r w:rsidRPr="002E00A3">
        <w:rPr>
          <w:lang w:val="es-419"/>
        </w:rPr>
        <w:t xml:space="preserve"> (puesta por el librado mediante su firma en el anverso con la palabra "Acepto") o desde la fecha del </w:t>
      </w:r>
      <w:r w:rsidRPr="002E00A3">
        <w:rPr>
          <w:b/>
          <w:lang w:val="es-419"/>
        </w:rPr>
        <w:t>Protesto</w:t>
      </w:r>
      <w:r w:rsidRPr="002E00A3">
        <w:rPr>
          <w:lang w:val="es-419"/>
        </w:rPr>
        <w:t xml:space="preserve"> por falta d</w:t>
      </w:r>
      <w:r w:rsidRPr="002E00A3">
        <w:rPr>
          <w:lang w:val="es-419"/>
        </w:rPr>
        <w:t>e aceptación.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lastRenderedPageBreak/>
        <w:t>B) Según la Estructura de la Emisión:</w:t>
      </w:r>
    </w:p>
    <w:p w:rsidR="00BE4BEA" w:rsidRDefault="002E00A3">
      <w:pPr>
        <w:pStyle w:val="Listaconnmeros"/>
        <w:spacing w:after="60"/>
      </w:pPr>
      <w:r w:rsidRPr="002E00A3">
        <w:rPr>
          <w:b/>
          <w:lang w:val="es-419"/>
        </w:rPr>
        <w:t>A la orden del propio Librador:</w:t>
      </w:r>
      <w:r w:rsidRPr="002E00A3">
        <w:rPr>
          <w:lang w:val="es-419"/>
        </w:rPr>
        <w:t xml:space="preserve"> El librador y el beneficiario son la misma persona jurídica o natural (ej. </w:t>
      </w:r>
      <w:r>
        <w:t>"</w:t>
      </w:r>
      <w:proofErr w:type="spellStart"/>
      <w:r>
        <w:t>Pagará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a la orden de mí mismo").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A cargo del propio Librador:</w:t>
      </w:r>
      <w:r w:rsidRPr="002E00A3">
        <w:rPr>
          <w:lang w:val="es-419"/>
        </w:rPr>
        <w:t xml:space="preserve"> El librador y el librado son la misma persona (modalidad habitual utilizada por casas matrices respecto a sus sucursales).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A cargo de un tercero:</w:t>
      </w:r>
      <w:r w:rsidRPr="002E00A3">
        <w:rPr>
          <w:lang w:val="es-419"/>
        </w:rPr>
        <w:t xml:space="preserve"> La estructura tripartita tradicional (Librador $\</w:t>
      </w:r>
      <w:proofErr w:type="spellStart"/>
      <w:r w:rsidRPr="002E00A3">
        <w:rPr>
          <w:lang w:val="es-419"/>
        </w:rPr>
        <w:t>neq</w:t>
      </w:r>
      <w:proofErr w:type="spellEnd"/>
      <w:r w:rsidRPr="002E00A3">
        <w:rPr>
          <w:lang w:val="es-419"/>
        </w:rPr>
        <w:t>$ Librado $\</w:t>
      </w:r>
      <w:proofErr w:type="spellStart"/>
      <w:r w:rsidRPr="002E00A3">
        <w:rPr>
          <w:lang w:val="es-419"/>
        </w:rPr>
        <w:t>neq</w:t>
      </w:r>
      <w:proofErr w:type="spellEnd"/>
      <w:r w:rsidRPr="002E00A3">
        <w:rPr>
          <w:lang w:val="es-419"/>
        </w:rPr>
        <w:t>$ Beneficiario).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3. LA LIBRANZA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3.1 Defin</w:t>
      </w:r>
      <w:r w:rsidRPr="002E00A3">
        <w:rPr>
          <w:color w:val="2C5282"/>
          <w:sz w:val="24"/>
          <w:lang w:val="es-419"/>
        </w:rPr>
        <w:t>ición Teórica y Naturaleza Jurídica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La </w:t>
      </w:r>
      <w:r w:rsidRPr="002E00A3">
        <w:rPr>
          <w:b/>
          <w:lang w:val="es-419"/>
        </w:rPr>
        <w:t>Libranza</w:t>
      </w:r>
      <w:r w:rsidRPr="002E00A3">
        <w:rPr>
          <w:lang w:val="es-419"/>
        </w:rPr>
        <w:t xml:space="preserve"> es un título de crédito o documento mercantil de pago mediante el cual una persona (librador) encarga o autoriza a otra (librado o pagador) a entregar a una tercera persona (beneficiario) una suma dineraria d</w:t>
      </w:r>
      <w:r w:rsidRPr="002E00A3">
        <w:rPr>
          <w:lang w:val="es-419"/>
        </w:rPr>
        <w:t xml:space="preserve">eterminada, </w:t>
      </w:r>
      <w:r w:rsidRPr="002E00A3">
        <w:rPr>
          <w:b/>
          <w:lang w:val="es-419"/>
        </w:rPr>
        <w:t>con cargo a los fondos que el librado posee o administrará por cuenta del librador</w:t>
      </w:r>
      <w:r w:rsidRPr="002E00A3">
        <w:rPr>
          <w:lang w:val="es-419"/>
        </w:rPr>
        <w:t>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En la doctrina mercantilista (</w:t>
      </w:r>
      <w:proofErr w:type="spellStart"/>
      <w:r w:rsidRPr="002E00A3">
        <w:rPr>
          <w:b/>
          <w:lang w:val="es-419"/>
        </w:rPr>
        <w:t>Broseta</w:t>
      </w:r>
      <w:proofErr w:type="spellEnd"/>
      <w:r w:rsidRPr="002E00A3">
        <w:rPr>
          <w:b/>
          <w:lang w:val="es-419"/>
        </w:rPr>
        <w:t xml:space="preserve"> Pont</w:t>
      </w:r>
      <w:r w:rsidRPr="002E00A3">
        <w:rPr>
          <w:lang w:val="es-419"/>
        </w:rPr>
        <w:t xml:space="preserve">), la libranza se distingue de la letra de cambio en que </w:t>
      </w:r>
      <w:r w:rsidRPr="002E00A3">
        <w:rPr>
          <w:b/>
          <w:lang w:val="es-419"/>
        </w:rPr>
        <w:t>carece del rigor cambiario abstracto absoluto y de la univers</w:t>
      </w:r>
      <w:r w:rsidRPr="002E00A3">
        <w:rPr>
          <w:b/>
          <w:lang w:val="es-419"/>
        </w:rPr>
        <w:t>alidad de la acción ejecutiva automática</w:t>
      </w:r>
      <w:r w:rsidRPr="002E00A3">
        <w:rPr>
          <w:lang w:val="es-419"/>
        </w:rPr>
        <w:t xml:space="preserve">. Históricamente se utilizó como una orden de pago mercantil </w:t>
      </w:r>
      <w:proofErr w:type="spellStart"/>
      <w:r w:rsidRPr="002E00A3">
        <w:rPr>
          <w:lang w:val="es-419"/>
        </w:rPr>
        <w:t>causalizada</w:t>
      </w:r>
      <w:proofErr w:type="spellEnd"/>
      <w:r w:rsidRPr="002E00A3">
        <w:rPr>
          <w:lang w:val="es-419"/>
        </w:rPr>
        <w:t>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3.2 La Libranza en el Contexto Financiero Moderno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En la práctica financiera actual (especialmente en el ámbito laboral y crediticio), la libra</w:t>
      </w:r>
      <w:r w:rsidRPr="002E00A3">
        <w:rPr>
          <w:lang w:val="es-419"/>
        </w:rPr>
        <w:t xml:space="preserve">nza ha evolucionado hacia la </w:t>
      </w:r>
      <w:r w:rsidRPr="002E00A3">
        <w:rPr>
          <w:b/>
          <w:lang w:val="es-419"/>
        </w:rPr>
        <w:t>Libranza Crediticia o Descuento por Nómina</w:t>
      </w:r>
      <w:r w:rsidRPr="002E00A3">
        <w:rPr>
          <w:lang w:val="es-419"/>
        </w:rPr>
        <w:t>: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 xml:space="preserve">Es un contrato y documento de pago donde un deudor (empleado o pensionado) autoriza expresamente a su empleador o entidad pagadora a </w:t>
      </w:r>
      <w:r w:rsidRPr="002E00A3">
        <w:rPr>
          <w:b/>
          <w:lang w:val="es-419"/>
        </w:rPr>
        <w:t>descontar periódicamente de su salario o pensión</w:t>
      </w:r>
      <w:r w:rsidRPr="002E00A3">
        <w:rPr>
          <w:lang w:val="es-419"/>
        </w:rPr>
        <w:t xml:space="preserve"> u</w:t>
      </w:r>
      <w:r w:rsidRPr="002E00A3">
        <w:rPr>
          <w:lang w:val="es-419"/>
        </w:rPr>
        <w:t>na cuota fija para abonarla directamente a una entidad financiera acreedora.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Característica:</w:t>
      </w:r>
      <w:r w:rsidRPr="002E00A3">
        <w:rPr>
          <w:lang w:val="es-419"/>
        </w:rPr>
        <w:t xml:space="preserve"> Su garantía radica en la fuente de pago (el flujo del salario o pensión), lo que reduce ostensiblemente el riesgo de impago y la tasa de interés aplicable.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 xml:space="preserve">4. EL </w:t>
      </w:r>
      <w:r w:rsidRPr="002E00A3">
        <w:rPr>
          <w:color w:val="2B6CB0"/>
          <w:sz w:val="30"/>
          <w:lang w:val="es-419"/>
        </w:rPr>
        <w:t>PAGARÉ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4.1 Definición Doctrinal y Diferencia Sustancial con la Letra de Cambio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El </w:t>
      </w:r>
      <w:r w:rsidRPr="002E00A3">
        <w:rPr>
          <w:b/>
          <w:lang w:val="es-419"/>
        </w:rPr>
        <w:t>Pagaré</w:t>
      </w:r>
      <w:r w:rsidRPr="002E00A3">
        <w:rPr>
          <w:lang w:val="es-419"/>
        </w:rPr>
        <w:t xml:space="preserve"> (también denominado </w:t>
      </w:r>
      <w:r w:rsidRPr="002E00A3">
        <w:rPr>
          <w:i/>
          <w:lang w:val="es-419"/>
        </w:rPr>
        <w:t>Vale a la Orden</w:t>
      </w:r>
      <w:r w:rsidRPr="002E00A3">
        <w:rPr>
          <w:lang w:val="es-419"/>
        </w:rPr>
        <w:t xml:space="preserve"> o </w:t>
      </w:r>
      <w:r w:rsidRPr="002E00A3">
        <w:rPr>
          <w:i/>
          <w:lang w:val="es-419"/>
        </w:rPr>
        <w:t>Nota de Débito Cambiaria</w:t>
      </w:r>
      <w:r w:rsidRPr="002E00A3">
        <w:rPr>
          <w:lang w:val="es-419"/>
        </w:rPr>
        <w:t xml:space="preserve">) es un título valor por el cual una persona llamada </w:t>
      </w:r>
      <w:r w:rsidRPr="002E00A3">
        <w:rPr>
          <w:b/>
          <w:lang w:val="es-419"/>
        </w:rPr>
        <w:t>Emisor o Firmante</w:t>
      </w:r>
      <w:r w:rsidRPr="002E00A3">
        <w:rPr>
          <w:lang w:val="es-419"/>
        </w:rPr>
        <w:t xml:space="preserve"> se compromete de manera </w:t>
      </w:r>
      <w:r w:rsidRPr="002E00A3">
        <w:rPr>
          <w:b/>
          <w:lang w:val="es-419"/>
        </w:rPr>
        <w:t>promisoria</w:t>
      </w:r>
      <w:r w:rsidRPr="002E00A3">
        <w:rPr>
          <w:b/>
          <w:lang w:val="es-419"/>
        </w:rPr>
        <w:t>, directa e incondicional</w:t>
      </w:r>
      <w:r w:rsidRPr="002E00A3">
        <w:rPr>
          <w:lang w:val="es-419"/>
        </w:rPr>
        <w:t xml:space="preserve"> a pagar a otra persona (</w:t>
      </w:r>
      <w:r w:rsidRPr="002E00A3">
        <w:rPr>
          <w:b/>
          <w:lang w:val="es-419"/>
        </w:rPr>
        <w:t>Tenedor o Beneficiario</w:t>
      </w:r>
      <w:r w:rsidRPr="002E00A3">
        <w:rPr>
          <w:lang w:val="es-419"/>
        </w:rPr>
        <w:t>) o a su orden, una suma determinada de dinero en un lugar y tiempo fijados.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lastRenderedPageBreak/>
        <w:t>Diferencia Estructural Doctrinal (</w:t>
      </w:r>
      <w:proofErr w:type="spellStart"/>
      <w:r w:rsidRPr="002E00A3">
        <w:rPr>
          <w:color w:val="2D3748"/>
          <w:lang w:val="es-419"/>
        </w:rPr>
        <w:t>Garrigues</w:t>
      </w:r>
      <w:proofErr w:type="spellEnd"/>
      <w:r w:rsidRPr="002E00A3">
        <w:rPr>
          <w:color w:val="2D3748"/>
          <w:lang w:val="es-419"/>
        </w:rPr>
        <w:t xml:space="preserve"> vs. </w:t>
      </w:r>
      <w:proofErr w:type="spellStart"/>
      <w:r w:rsidRPr="002E00A3">
        <w:rPr>
          <w:color w:val="2D3748"/>
          <w:lang w:val="es-419"/>
        </w:rPr>
        <w:t>Vivante</w:t>
      </w:r>
      <w:proofErr w:type="spellEnd"/>
      <w:r w:rsidRPr="002E00A3">
        <w:rPr>
          <w:color w:val="2D3748"/>
          <w:lang w:val="es-419"/>
        </w:rPr>
        <w:t>):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Letra de Cambio:</w:t>
      </w:r>
      <w:r w:rsidRPr="002E00A3">
        <w:rPr>
          <w:lang w:val="es-419"/>
        </w:rPr>
        <w:t xml:space="preserve"> Contiene una </w:t>
      </w:r>
      <w:r w:rsidRPr="002E00A3">
        <w:rPr>
          <w:b/>
          <w:lang w:val="es-419"/>
        </w:rPr>
        <w:t xml:space="preserve">orden de pago </w:t>
      </w:r>
      <w:r w:rsidRPr="002E00A3">
        <w:rPr>
          <w:b/>
          <w:lang w:val="es-419"/>
        </w:rPr>
        <w:t>triple</w:t>
      </w:r>
      <w:r w:rsidRPr="002E00A3">
        <w:rPr>
          <w:lang w:val="es-419"/>
        </w:rPr>
        <w:t xml:space="preserve"> (*"Haga usted pagar a X"*). Requiere la aceptación de un tercero (Librado) para constituir el </w:t>
      </w:r>
      <w:proofErr w:type="spellStart"/>
      <w:r w:rsidRPr="002E00A3">
        <w:rPr>
          <w:lang w:val="es-419"/>
        </w:rPr>
        <w:t>vinculo</w:t>
      </w:r>
      <w:proofErr w:type="spellEnd"/>
      <w:r w:rsidRPr="002E00A3">
        <w:rPr>
          <w:lang w:val="es-419"/>
        </w:rPr>
        <w:t xml:space="preserve"> principal.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Pagaré:</w:t>
      </w:r>
      <w:r w:rsidRPr="002E00A3">
        <w:rPr>
          <w:lang w:val="es-419"/>
        </w:rPr>
        <w:t xml:space="preserve"> Contiene una </w:t>
      </w:r>
      <w:r w:rsidRPr="002E00A3">
        <w:rPr>
          <w:b/>
          <w:lang w:val="es-419"/>
        </w:rPr>
        <w:t>promesa directa de pago bipartita</w:t>
      </w:r>
      <w:r w:rsidRPr="002E00A3">
        <w:rPr>
          <w:lang w:val="es-419"/>
        </w:rPr>
        <w:t xml:space="preserve"> (*"Yo pagaré a X"*). El emisor del pagaré queda obligado exactamente en los mismo</w:t>
      </w:r>
      <w:r w:rsidRPr="002E00A3">
        <w:rPr>
          <w:lang w:val="es-419"/>
        </w:rPr>
        <w:t>s términos que el aceptante de una letra de cambio; es el deudor principal y directo desde el instante de la firma.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4.2 Requisitos Legalmente Exigibles (Art. 486 del Código de Comercio)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La denominación del título ("Pagaré" o "Vale a la Orden").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 xml:space="preserve">La promesa </w:t>
      </w:r>
      <w:r w:rsidRPr="002E00A3">
        <w:rPr>
          <w:lang w:val="es-419"/>
        </w:rPr>
        <w:t>pura y simple de pagar una cantidad determinada.</w:t>
      </w:r>
    </w:p>
    <w:p w:rsidR="00BE4BEA" w:rsidRDefault="002E00A3">
      <w:pPr>
        <w:pStyle w:val="Listaconnmeros"/>
        <w:spacing w:after="60"/>
      </w:pPr>
      <w:r>
        <w:t xml:space="preserve">La </w:t>
      </w:r>
      <w:proofErr w:type="spellStart"/>
      <w:r>
        <w:t>indicación</w:t>
      </w:r>
      <w:proofErr w:type="spellEnd"/>
      <w:r>
        <w:t xml:space="preserve"> del </w:t>
      </w:r>
      <w:proofErr w:type="spellStart"/>
      <w:r>
        <w:t>vencimiento</w:t>
      </w:r>
      <w:proofErr w:type="spellEnd"/>
      <w:r>
        <w:t>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El lugar donde debe efectuarse el pago.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El nombre de la persona a quien o a cuya orden debe hacerse el pago.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La fecha y el lugar en que se firma el pagaré.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 xml:space="preserve">La firma del que </w:t>
      </w:r>
      <w:r w:rsidRPr="002E00A3">
        <w:rPr>
          <w:lang w:val="es-419"/>
        </w:rPr>
        <w:t>emite el documento (Firmante/Deudor).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4.3 Tipos de Pagaré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Los pagarés se tipifican en el tráfico financiero según sus clausulados de circulación, sus garantías y sus emisores:</w:t>
      </w:r>
    </w:p>
    <w:p w:rsidR="00BE4BEA" w:rsidRDefault="002E00A3">
      <w:pPr>
        <w:spacing w:before="160" w:after="40"/>
        <w:jc w:val="center"/>
      </w:pPr>
      <w:r>
        <w:rPr>
          <w:noProof/>
          <w:lang w:val="es-419" w:eastAsia="es-419"/>
        </w:rPr>
        <w:lastRenderedPageBreak/>
        <w:drawing>
          <wp:inline distT="0" distB="0" distL="0" distR="0">
            <wp:extent cx="5303520" cy="530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pos_de_pagare_diagram_178620228419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EA" w:rsidRPr="002E00A3" w:rsidRDefault="002E00A3">
      <w:pPr>
        <w:spacing w:after="160"/>
        <w:jc w:val="center"/>
        <w:rPr>
          <w:lang w:val="es-419"/>
        </w:rPr>
      </w:pPr>
      <w:r w:rsidRPr="002E00A3">
        <w:rPr>
          <w:i/>
          <w:color w:val="718096"/>
          <w:sz w:val="18"/>
          <w:lang w:val="es-419"/>
        </w:rPr>
        <w:t xml:space="preserve">Figura: Esquema </w:t>
      </w:r>
      <w:proofErr w:type="spellStart"/>
      <w:r w:rsidRPr="002E00A3">
        <w:rPr>
          <w:i/>
          <w:color w:val="718096"/>
          <w:sz w:val="18"/>
          <w:lang w:val="es-419"/>
        </w:rPr>
        <w:t>Infográfico</w:t>
      </w:r>
      <w:proofErr w:type="spellEnd"/>
      <w:r w:rsidRPr="002E00A3">
        <w:rPr>
          <w:i/>
          <w:color w:val="718096"/>
          <w:sz w:val="18"/>
          <w:lang w:val="es-419"/>
        </w:rPr>
        <w:t xml:space="preserve"> de Tipos de Pagaré</w:t>
      </w:r>
    </w:p>
    <w:p w:rsidR="00BE4BEA" w:rsidRPr="002E00A3" w:rsidRDefault="00BE4BEA">
      <w:pPr>
        <w:spacing w:after="120"/>
        <w:rPr>
          <w:lang w:val="es-419"/>
        </w:rPr>
      </w:pPr>
    </w:p>
    <w:p w:rsidR="00BE4BEA" w:rsidRDefault="002E00A3">
      <w:pPr>
        <w:pStyle w:val="Ttulo4"/>
        <w:spacing w:before="240" w:after="120"/>
      </w:pPr>
      <w:proofErr w:type="spellStart"/>
      <w:r>
        <w:rPr>
          <w:color w:val="2D3748"/>
        </w:rPr>
        <w:t>Descripción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Detallada</w:t>
      </w:r>
      <w:proofErr w:type="spellEnd"/>
      <w:r>
        <w:rPr>
          <w:color w:val="2D3748"/>
        </w:rPr>
        <w:t>: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Pagaré a la Orden:</w:t>
      </w:r>
      <w:r w:rsidRPr="002E00A3">
        <w:rPr>
          <w:lang w:val="es-419"/>
        </w:rPr>
        <w:t xml:space="preserve"> Incorpora la cláusula "a la orden", lo que permite su libre transmisión a t</w:t>
      </w:r>
      <w:r w:rsidRPr="002E00A3">
        <w:rPr>
          <w:lang w:val="es-419"/>
        </w:rPr>
        <w:t xml:space="preserve">erceros mediante </w:t>
      </w:r>
      <w:r w:rsidRPr="002E00A3">
        <w:rPr>
          <w:b/>
          <w:lang w:val="es-419"/>
        </w:rPr>
        <w:t>endoso</w:t>
      </w:r>
      <w:r w:rsidRPr="002E00A3">
        <w:rPr>
          <w:lang w:val="es-419"/>
        </w:rPr>
        <w:t>, conservando el rigor cambiario de la autonomía.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Pagaré No a la Orden:</w:t>
      </w:r>
      <w:r w:rsidRPr="002E00A3">
        <w:rPr>
          <w:lang w:val="es-419"/>
        </w:rPr>
        <w:t xml:space="preserve"> Incluye la cláusula "no a la orden". No puede ser endosado; su transferencia solo puede realizarse mediante la figura civil de la </w:t>
      </w:r>
      <w:r w:rsidRPr="002E00A3">
        <w:rPr>
          <w:b/>
          <w:lang w:val="es-419"/>
        </w:rPr>
        <w:t>cesión ordinaria de créditos</w:t>
      </w:r>
      <w:r w:rsidRPr="002E00A3">
        <w:rPr>
          <w:lang w:val="es-419"/>
        </w:rPr>
        <w:t>, p</w:t>
      </w:r>
      <w:r w:rsidRPr="002E00A3">
        <w:rPr>
          <w:lang w:val="es-419"/>
        </w:rPr>
        <w:t>erdiendo el cesionario la protección del principio de autonomía cambiaria (el deudor puede oponerle las excepciones personales que tenía contra el cedente).</w:t>
      </w:r>
    </w:p>
    <w:p w:rsidR="00BE4BEA" w:rsidRDefault="002E00A3">
      <w:pPr>
        <w:pStyle w:val="Listaconnmeros"/>
        <w:spacing w:after="60"/>
      </w:pPr>
      <w:r w:rsidRPr="002E00A3">
        <w:rPr>
          <w:b/>
          <w:lang w:val="es-419"/>
        </w:rPr>
        <w:t>Pagaré Quirografario:</w:t>
      </w:r>
      <w:r w:rsidRPr="002E00A3">
        <w:rPr>
          <w:lang w:val="es-419"/>
        </w:rPr>
        <w:t xml:space="preserve"> No posee una garantía específica real (prenda o hipoteca) ni personal (aval).</w:t>
      </w:r>
      <w:r w:rsidRPr="002E00A3">
        <w:rPr>
          <w:lang w:val="es-419"/>
        </w:rP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el </w:t>
      </w:r>
      <w:proofErr w:type="spellStart"/>
      <w:r>
        <w:t>patrimonio</w:t>
      </w:r>
      <w:proofErr w:type="spellEnd"/>
      <w:r>
        <w:t xml:space="preserve"> general del emisor.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Pagaré Avalado:</w:t>
      </w:r>
      <w:r w:rsidRPr="002E00A3">
        <w:rPr>
          <w:lang w:val="es-419"/>
        </w:rPr>
        <w:t xml:space="preserve"> Cuenta con la firma de un </w:t>
      </w:r>
      <w:r w:rsidRPr="002E00A3">
        <w:rPr>
          <w:b/>
          <w:lang w:val="es-419"/>
        </w:rPr>
        <w:t>Avalista</w:t>
      </w:r>
      <w:r w:rsidRPr="002E00A3">
        <w:rPr>
          <w:lang w:val="es-419"/>
        </w:rPr>
        <w:t xml:space="preserve"> (tercero que garantiza en todo o en parte el pago del pagaré, respondiendo de forma solidaria con el emisor).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lastRenderedPageBreak/>
        <w:t>Papel Comercial (*</w:t>
      </w:r>
      <w:proofErr w:type="spellStart"/>
      <w:r w:rsidRPr="002E00A3">
        <w:rPr>
          <w:b/>
          <w:lang w:val="es-419"/>
        </w:rPr>
        <w:t>Commercial</w:t>
      </w:r>
      <w:proofErr w:type="spellEnd"/>
      <w:r w:rsidRPr="002E00A3">
        <w:rPr>
          <w:b/>
          <w:lang w:val="es-419"/>
        </w:rPr>
        <w:t xml:space="preserve"> </w:t>
      </w:r>
      <w:proofErr w:type="spellStart"/>
      <w:r w:rsidRPr="002E00A3">
        <w:rPr>
          <w:b/>
          <w:lang w:val="es-419"/>
        </w:rPr>
        <w:t>Paper</w:t>
      </w:r>
      <w:proofErr w:type="spellEnd"/>
      <w:r w:rsidRPr="002E00A3">
        <w:rPr>
          <w:b/>
          <w:lang w:val="es-419"/>
        </w:rPr>
        <w:t>*):</w:t>
      </w:r>
      <w:r w:rsidRPr="002E00A3">
        <w:rPr>
          <w:lang w:val="es-419"/>
        </w:rPr>
        <w:t xml:space="preserve"> Pa</w:t>
      </w:r>
      <w:r w:rsidRPr="002E00A3">
        <w:rPr>
          <w:lang w:val="es-419"/>
        </w:rPr>
        <w:t>garé de empresa emitido a corto plazo (generalmente entre 30 y 360 días) en el Mercado de Capitales, utilizado por grandes corporaciones autorizadas por la Superintendencia de Valores para captar recursos directamente de inversionistas sin intermediación b</w:t>
      </w:r>
      <w:r w:rsidRPr="002E00A3">
        <w:rPr>
          <w:lang w:val="es-419"/>
        </w:rPr>
        <w:t>ancaria tradicional.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1"/>
        <w:spacing w:before="240" w:after="120"/>
        <w:rPr>
          <w:lang w:val="es-419"/>
        </w:rPr>
      </w:pPr>
      <w:r w:rsidRPr="002E00A3">
        <w:rPr>
          <w:color w:val="1A365D"/>
          <w:sz w:val="40"/>
          <w:lang w:val="es-419"/>
        </w:rPr>
        <w:t>UNIDAD DIDÁCTICA 2. DOCUMENTOS COMERCIALES NO NEGOCIABLES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Los documentos comerciales no negociables (o probatorios) son aquellos instrumentos emitidos en la dinámica mercantil para </w:t>
      </w:r>
      <w:r w:rsidRPr="002E00A3">
        <w:rPr>
          <w:b/>
          <w:lang w:val="es-419"/>
        </w:rPr>
        <w:t xml:space="preserve">dejar constancia escrita de las distintas fases del </w:t>
      </w:r>
      <w:r w:rsidRPr="002E00A3">
        <w:rPr>
          <w:b/>
          <w:lang w:val="es-419"/>
        </w:rPr>
        <w:t>contrato o de la ejecución de la prestación</w:t>
      </w:r>
      <w:r w:rsidRPr="002E00A3">
        <w:rPr>
          <w:lang w:val="es-419"/>
        </w:rPr>
        <w:t xml:space="preserve">. No están destinados a la circulación jurídica del crédito ni otorgan por sí solos fuerza ejecutiva cambiaria; constituyen la </w:t>
      </w:r>
      <w:r w:rsidRPr="002E00A3">
        <w:rPr>
          <w:b/>
          <w:lang w:val="es-419"/>
        </w:rPr>
        <w:t>base documental de soporte contable y comprobatorio tributario</w:t>
      </w:r>
      <w:r w:rsidRPr="002E00A3">
        <w:rPr>
          <w:lang w:val="es-419"/>
        </w:rPr>
        <w:t>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1. EL PEDIDO (ORDEN D</w:t>
      </w:r>
      <w:r w:rsidRPr="002E00A3">
        <w:rPr>
          <w:color w:val="2B6CB0"/>
          <w:sz w:val="30"/>
          <w:lang w:val="es-419"/>
        </w:rPr>
        <w:t>E COMPRA)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1.1 Definición Teórica y Valor Probatorio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El </w:t>
      </w:r>
      <w:r w:rsidRPr="002E00A3">
        <w:rPr>
          <w:b/>
          <w:lang w:val="es-419"/>
        </w:rPr>
        <w:t>Pedido</w:t>
      </w:r>
      <w:r w:rsidRPr="002E00A3">
        <w:rPr>
          <w:lang w:val="es-419"/>
        </w:rPr>
        <w:t xml:space="preserve"> u </w:t>
      </w:r>
      <w:r w:rsidRPr="002E00A3">
        <w:rPr>
          <w:b/>
          <w:lang w:val="es-419"/>
        </w:rPr>
        <w:t>Orden de Compra</w:t>
      </w:r>
      <w:r w:rsidRPr="002E00A3">
        <w:rPr>
          <w:lang w:val="es-419"/>
        </w:rPr>
        <w:t xml:space="preserve"> es el documento mercantil mediante el cual un comprador formaliza ante un vendedor una </w:t>
      </w:r>
      <w:r w:rsidRPr="002E00A3">
        <w:rPr>
          <w:b/>
          <w:lang w:val="es-419"/>
        </w:rPr>
        <w:t>solicitud firme de suministro de bienes o prestación de servicios</w:t>
      </w:r>
      <w:r w:rsidRPr="002E00A3">
        <w:rPr>
          <w:lang w:val="es-419"/>
        </w:rPr>
        <w:t xml:space="preserve">, especificando </w:t>
      </w:r>
      <w:r w:rsidRPr="002E00A3">
        <w:rPr>
          <w:lang w:val="es-419"/>
        </w:rPr>
        <w:t>cantidades, calidades, precios unitarios, condiciones de entrega y plazos de pago.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Desde el punto de vista del Derecho de Contratos (</w:t>
      </w:r>
      <w:proofErr w:type="spellStart"/>
      <w:r w:rsidRPr="002E00A3">
        <w:rPr>
          <w:b/>
          <w:lang w:val="es-419"/>
        </w:rPr>
        <w:t>Messineo</w:t>
      </w:r>
      <w:proofErr w:type="spellEnd"/>
      <w:r w:rsidRPr="002E00A3">
        <w:rPr>
          <w:lang w:val="es-419"/>
        </w:rPr>
        <w:t xml:space="preserve">), la Orden de Compra constituye la manifestación formal de la </w:t>
      </w:r>
      <w:r w:rsidRPr="002E00A3">
        <w:rPr>
          <w:b/>
          <w:lang w:val="es-419"/>
        </w:rPr>
        <w:t>oferta comercial de compra</w:t>
      </w:r>
      <w:r w:rsidRPr="002E00A3">
        <w:rPr>
          <w:lang w:val="es-419"/>
        </w:rPr>
        <w:t>. Una vez recibida y acept</w:t>
      </w:r>
      <w:r w:rsidRPr="002E00A3">
        <w:rPr>
          <w:lang w:val="es-419"/>
        </w:rPr>
        <w:t xml:space="preserve">ada expresamente por el vendedor (mediante la </w:t>
      </w:r>
      <w:r w:rsidRPr="002E00A3">
        <w:rPr>
          <w:i/>
          <w:lang w:val="es-419"/>
        </w:rPr>
        <w:t>Confirmación de Pedido</w:t>
      </w:r>
      <w:r w:rsidRPr="002E00A3">
        <w:rPr>
          <w:lang w:val="es-419"/>
        </w:rPr>
        <w:t>), se perfecciona el consentimiento contractual, generando obligaciones recíprocas bajo el Artículo 1.254 del Código Civil y las normas del Código de Comercio sobre la compraventa.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1.2 Fun</w:t>
      </w:r>
      <w:r w:rsidRPr="002E00A3">
        <w:rPr>
          <w:color w:val="2C5282"/>
          <w:sz w:val="24"/>
          <w:lang w:val="es-419"/>
        </w:rPr>
        <w:t>ciones en el Control Interno Contable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Soporte de Compromiso:</w:t>
      </w:r>
      <w:r w:rsidRPr="002E00A3">
        <w:rPr>
          <w:lang w:val="es-419"/>
        </w:rPr>
        <w:t xml:space="preserve"> Registra la intención vinculante de adquisición sin afectación inmediata de las cuentas del Balance de Situación Financiera.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Control de Cuentas por Pagar:</w:t>
      </w:r>
      <w:r w:rsidRPr="002E00A3">
        <w:rPr>
          <w:lang w:val="es-419"/>
        </w:rPr>
        <w:t xml:space="preserve"> Es la pieza angular de la *Prueba del Tr</w:t>
      </w:r>
      <w:r w:rsidRPr="002E00A3">
        <w:rPr>
          <w:lang w:val="es-419"/>
        </w:rPr>
        <w:t>iple Match* (Verificación cruzada entre la Orden de Compra, el Albarán de recepción y la Factura definitiva del proveedor).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lastRenderedPageBreak/>
        <w:t>2. EL ALBARÁN (GUÍA DE DESPACHO / NOTA DE ENTREGA)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2.1 Definición Doctrinal y Traspaso de Posesión y Riesgo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El </w:t>
      </w:r>
      <w:r w:rsidRPr="002E00A3">
        <w:rPr>
          <w:b/>
          <w:lang w:val="es-419"/>
        </w:rPr>
        <w:t>Albarán</w:t>
      </w:r>
      <w:r w:rsidRPr="002E00A3">
        <w:rPr>
          <w:lang w:val="es-419"/>
        </w:rPr>
        <w:t xml:space="preserve"> (denominado </w:t>
      </w:r>
      <w:r w:rsidRPr="002E00A3">
        <w:rPr>
          <w:lang w:val="es-419"/>
        </w:rPr>
        <w:t xml:space="preserve">en Venezuela y Latinoamérica </w:t>
      </w:r>
      <w:r w:rsidRPr="002E00A3">
        <w:rPr>
          <w:b/>
          <w:lang w:val="es-419"/>
        </w:rPr>
        <w:t>Guía de Despacho</w:t>
      </w:r>
      <w:r w:rsidRPr="002E00A3">
        <w:rPr>
          <w:lang w:val="es-419"/>
        </w:rPr>
        <w:t xml:space="preserve"> o </w:t>
      </w:r>
      <w:r w:rsidRPr="002E00A3">
        <w:rPr>
          <w:b/>
          <w:lang w:val="es-419"/>
        </w:rPr>
        <w:t>Nota de Entrega</w:t>
      </w:r>
      <w:r w:rsidRPr="002E00A3">
        <w:rPr>
          <w:lang w:val="es-419"/>
        </w:rPr>
        <w:t xml:space="preserve">) es el documento acreditativo de la </w:t>
      </w:r>
      <w:r w:rsidRPr="002E00A3">
        <w:rPr>
          <w:b/>
          <w:lang w:val="es-419"/>
        </w:rPr>
        <w:t>entrega física de las mercancías al comprador o consignatario</w:t>
      </w:r>
      <w:r w:rsidRPr="002E00A3">
        <w:rPr>
          <w:lang w:val="es-419"/>
        </w:rPr>
        <w:t>, o de la realización del servicio prestado.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Doctrinariamente (</w:t>
      </w:r>
      <w:proofErr w:type="spellStart"/>
      <w:r w:rsidRPr="002E00A3">
        <w:rPr>
          <w:b/>
          <w:lang w:val="es-419"/>
        </w:rPr>
        <w:t>Garrigues</w:t>
      </w:r>
      <w:proofErr w:type="spellEnd"/>
      <w:r w:rsidRPr="002E00A3">
        <w:rPr>
          <w:lang w:val="es-419"/>
        </w:rPr>
        <w:t xml:space="preserve">), el albarán marca el </w:t>
      </w:r>
      <w:r w:rsidRPr="002E00A3">
        <w:rPr>
          <w:lang w:val="es-419"/>
        </w:rPr>
        <w:t xml:space="preserve">momento preciso de la </w:t>
      </w:r>
      <w:r w:rsidRPr="002E00A3">
        <w:rPr>
          <w:b/>
          <w:lang w:val="es-419"/>
        </w:rPr>
        <w:t>transmisión del riesgo de la cosa soldada</w:t>
      </w:r>
      <w:r w:rsidRPr="002E00A3">
        <w:rPr>
          <w:lang w:val="es-419"/>
        </w:rPr>
        <w:t xml:space="preserve"> (principio </w:t>
      </w:r>
      <w:r w:rsidRPr="002E00A3">
        <w:rPr>
          <w:i/>
          <w:lang w:val="es-419"/>
        </w:rPr>
        <w:t xml:space="preserve">res </w:t>
      </w:r>
      <w:proofErr w:type="spellStart"/>
      <w:r w:rsidRPr="002E00A3">
        <w:rPr>
          <w:i/>
          <w:lang w:val="es-419"/>
        </w:rPr>
        <w:t>perit</w:t>
      </w:r>
      <w:proofErr w:type="spellEnd"/>
      <w:r w:rsidRPr="002E00A3">
        <w:rPr>
          <w:i/>
          <w:lang w:val="es-419"/>
        </w:rPr>
        <w:t xml:space="preserve"> domino</w:t>
      </w:r>
      <w:r w:rsidRPr="002E00A3">
        <w:rPr>
          <w:lang w:val="es-419"/>
        </w:rPr>
        <w:t>). Al firmar el albarán "conforme", el comprador acepta la recepción física y se inicia el cómputo de los plazos legales para reclamar por vicios aparentes u ocultos</w:t>
      </w:r>
      <w:r w:rsidRPr="002E00A3">
        <w:rPr>
          <w:lang w:val="es-419"/>
        </w:rPr>
        <w:t xml:space="preserve"> en las mercancías.</w:t>
      </w:r>
    </w:p>
    <w:p w:rsidR="00BE4BEA" w:rsidRDefault="002E00A3">
      <w:pPr>
        <w:pStyle w:val="Ttulo3"/>
        <w:spacing w:before="240" w:after="120"/>
      </w:pPr>
      <w:r>
        <w:rPr>
          <w:color w:val="2C5282"/>
          <w:sz w:val="24"/>
        </w:rPr>
        <w:t xml:space="preserve">2.2 </w:t>
      </w:r>
      <w:proofErr w:type="spellStart"/>
      <w:r>
        <w:rPr>
          <w:color w:val="2C5282"/>
          <w:sz w:val="24"/>
        </w:rPr>
        <w:t>Tipos</w:t>
      </w:r>
      <w:proofErr w:type="spellEnd"/>
      <w:r>
        <w:rPr>
          <w:color w:val="2C5282"/>
          <w:sz w:val="24"/>
        </w:rPr>
        <w:t xml:space="preserve"> de </w:t>
      </w:r>
      <w:proofErr w:type="spellStart"/>
      <w:r>
        <w:rPr>
          <w:color w:val="2C5282"/>
          <w:sz w:val="24"/>
        </w:rPr>
        <w:t>Albarán</w:t>
      </w:r>
      <w:proofErr w:type="spellEnd"/>
    </w:p>
    <w:p w:rsidR="00BE4BEA" w:rsidRDefault="002E00A3">
      <w:pPr>
        <w:spacing w:before="160" w:after="40"/>
        <w:jc w:val="center"/>
      </w:pPr>
      <w:r>
        <w:rPr>
          <w:noProof/>
          <w:lang w:val="es-419" w:eastAsia="es-419"/>
        </w:rPr>
        <w:drawing>
          <wp:inline distT="0" distB="0" distL="0" distR="0">
            <wp:extent cx="5303520" cy="530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pos_de_albaran_diagram_178620229489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EA" w:rsidRPr="002E00A3" w:rsidRDefault="002E00A3">
      <w:pPr>
        <w:spacing w:after="160"/>
        <w:jc w:val="center"/>
        <w:rPr>
          <w:lang w:val="es-419"/>
        </w:rPr>
      </w:pPr>
      <w:r w:rsidRPr="002E00A3">
        <w:rPr>
          <w:i/>
          <w:color w:val="718096"/>
          <w:sz w:val="18"/>
          <w:lang w:val="es-419"/>
        </w:rPr>
        <w:t xml:space="preserve">Figura: Esquema </w:t>
      </w:r>
      <w:proofErr w:type="spellStart"/>
      <w:r w:rsidRPr="002E00A3">
        <w:rPr>
          <w:i/>
          <w:color w:val="718096"/>
          <w:sz w:val="18"/>
          <w:lang w:val="es-419"/>
        </w:rPr>
        <w:t>Infográfico</w:t>
      </w:r>
      <w:proofErr w:type="spellEnd"/>
      <w:r w:rsidRPr="002E00A3">
        <w:rPr>
          <w:i/>
          <w:color w:val="718096"/>
          <w:sz w:val="18"/>
          <w:lang w:val="es-419"/>
        </w:rPr>
        <w:t xml:space="preserve"> de Tipos de Albarán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lastRenderedPageBreak/>
        <w:t>Albarán Valorado:</w:t>
      </w:r>
      <w:r w:rsidRPr="002E00A3">
        <w:rPr>
          <w:lang w:val="es-419"/>
        </w:rPr>
        <w:t xml:space="preserve"> Acompaña a la mercancía detallando no solo las unidades físicas y especificaciones técnicas, sino también el </w:t>
      </w:r>
      <w:r w:rsidRPr="002E00A3">
        <w:rPr>
          <w:b/>
          <w:lang w:val="es-419"/>
        </w:rPr>
        <w:t>precio unitario, descuentos y el valor total estimado</w:t>
      </w:r>
      <w:r w:rsidRPr="002E00A3">
        <w:rPr>
          <w:lang w:val="es-419"/>
        </w:rPr>
        <w:t>. En muchas PYMES actúa como documento sustitutivo</w:t>
      </w:r>
      <w:r w:rsidRPr="002E00A3">
        <w:rPr>
          <w:lang w:val="es-419"/>
        </w:rPr>
        <w:t xml:space="preserve"> temporal de la factura antes de la emisión del comprobante fiscal formal.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Albarán Sin Valorar (Ciego):</w:t>
      </w:r>
      <w:r w:rsidRPr="002E00A3">
        <w:rPr>
          <w:lang w:val="es-419"/>
        </w:rPr>
        <w:t xml:space="preserve"> Únicamente contiene la descripción detallada del artículo, código, cantidad de unidades y peso. Se utiliza habitualmente para evitar que los transportis</w:t>
      </w:r>
      <w:r w:rsidRPr="002E00A3">
        <w:rPr>
          <w:lang w:val="es-419"/>
        </w:rPr>
        <w:t>tas o el personal de almacén conozcan los valores monetarios de la carga por motivos de seguridad o confidencialidad comercial.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Guía de Transporte / Porte (Documento Equivalente):</w:t>
      </w:r>
      <w:r w:rsidRPr="002E00A3">
        <w:rPr>
          <w:lang w:val="es-419"/>
        </w:rPr>
        <w:t xml:space="preserve"> En materia tributaria venezolana (Providencia SENIAT 00071), la Guía de Desp</w:t>
      </w:r>
      <w:r w:rsidRPr="002E00A3">
        <w:rPr>
          <w:lang w:val="es-419"/>
        </w:rPr>
        <w:t>acho emitida por el transportista respalda la circulación de mercancías en el territorio nacional y debe acompañar obligatoriamente al transporte de carga.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3. EL RECIBO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3.1 Definición Jurídica y Efecto Liberatorio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El </w:t>
      </w:r>
      <w:r w:rsidRPr="002E00A3">
        <w:rPr>
          <w:b/>
          <w:lang w:val="es-419"/>
        </w:rPr>
        <w:t>Recibo</w:t>
      </w:r>
      <w:r w:rsidRPr="002E00A3">
        <w:rPr>
          <w:lang w:val="es-419"/>
        </w:rPr>
        <w:t xml:space="preserve"> es el documento privado emitido</w:t>
      </w:r>
      <w:r w:rsidRPr="002E00A3">
        <w:rPr>
          <w:lang w:val="es-419"/>
        </w:rPr>
        <w:t xml:space="preserve"> por el acreedor mediante el cual </w:t>
      </w:r>
      <w:r w:rsidRPr="002E00A3">
        <w:rPr>
          <w:b/>
          <w:lang w:val="es-419"/>
        </w:rPr>
        <w:t>declara formalmente haber recibido del deudor una determinada suma de dinero o bienes, extinguiendo en todo o en parte la obligación crediticia existente</w:t>
      </w:r>
      <w:r w:rsidRPr="002E00A3">
        <w:rPr>
          <w:lang w:val="es-419"/>
        </w:rPr>
        <w:t>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En la teoría del cumplimiento de las obligaciones (</w:t>
      </w:r>
      <w:r w:rsidRPr="002E00A3">
        <w:rPr>
          <w:b/>
          <w:lang w:val="es-419"/>
        </w:rPr>
        <w:t xml:space="preserve">Código Civil, </w:t>
      </w:r>
      <w:r w:rsidRPr="002E00A3">
        <w:rPr>
          <w:b/>
          <w:lang w:val="es-419"/>
        </w:rPr>
        <w:t>Art. 1.282 y ss.</w:t>
      </w:r>
      <w:r w:rsidRPr="002E00A3">
        <w:rPr>
          <w:lang w:val="es-419"/>
        </w:rPr>
        <w:t xml:space="preserve">), el recibo constituye la </w:t>
      </w:r>
      <w:r w:rsidRPr="002E00A3">
        <w:rPr>
          <w:b/>
          <w:lang w:val="es-419"/>
        </w:rPr>
        <w:t>prueba plena del pago</w:t>
      </w:r>
      <w:r w:rsidRPr="002E00A3">
        <w:rPr>
          <w:lang w:val="es-419"/>
        </w:rPr>
        <w:t>. El deudor tiene el derecho subjetivo indiscutible de exigir la expedición del recibo al momento de cancelar su deuda; de negarse el acreedor, el deudor puede incurrir legítimamente en la mor</w:t>
      </w:r>
      <w:r w:rsidRPr="002E00A3">
        <w:rPr>
          <w:lang w:val="es-419"/>
        </w:rPr>
        <w:t>a del acreedor (</w:t>
      </w:r>
      <w:r w:rsidRPr="002E00A3">
        <w:rPr>
          <w:i/>
          <w:lang w:val="es-419"/>
        </w:rPr>
        <w:t xml:space="preserve">mora </w:t>
      </w:r>
      <w:proofErr w:type="spellStart"/>
      <w:r w:rsidRPr="002E00A3">
        <w:rPr>
          <w:i/>
          <w:lang w:val="es-419"/>
        </w:rPr>
        <w:t>accipiendi</w:t>
      </w:r>
      <w:proofErr w:type="spellEnd"/>
      <w:r w:rsidRPr="002E00A3">
        <w:rPr>
          <w:lang w:val="es-419"/>
        </w:rPr>
        <w:t>) y proceder al pago por consignación judicial.</w:t>
      </w:r>
    </w:p>
    <w:p w:rsidR="00BE4BEA" w:rsidRDefault="002E00A3">
      <w:pPr>
        <w:pStyle w:val="Ttulo3"/>
        <w:spacing w:before="240" w:after="120"/>
      </w:pPr>
      <w:r>
        <w:rPr>
          <w:color w:val="2C5282"/>
          <w:sz w:val="24"/>
        </w:rPr>
        <w:t xml:space="preserve">3.2 </w:t>
      </w:r>
      <w:proofErr w:type="spellStart"/>
      <w:r>
        <w:rPr>
          <w:color w:val="2C5282"/>
          <w:sz w:val="24"/>
        </w:rPr>
        <w:t>Tipos</w:t>
      </w:r>
      <w:proofErr w:type="spellEnd"/>
      <w:r>
        <w:rPr>
          <w:color w:val="2C5282"/>
          <w:sz w:val="24"/>
        </w:rPr>
        <w:t xml:space="preserve"> de </w:t>
      </w:r>
      <w:proofErr w:type="spellStart"/>
      <w:r>
        <w:rPr>
          <w:color w:val="2C5282"/>
          <w:sz w:val="24"/>
        </w:rPr>
        <w:t>Recibo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4BEA">
        <w:trPr>
          <w:jc w:val="center"/>
        </w:trPr>
        <w:tc>
          <w:tcPr>
            <w:tcW w:w="312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b/>
                <w:color w:val="FFFFFF"/>
              </w:rPr>
              <w:t>Tipo de Recibo</w:t>
            </w:r>
          </w:p>
        </w:tc>
        <w:tc>
          <w:tcPr>
            <w:tcW w:w="312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b/>
                <w:color w:val="FFFFFF"/>
              </w:rPr>
              <w:t>Ámbito y Uso Contable</w:t>
            </w:r>
          </w:p>
        </w:tc>
        <w:tc>
          <w:tcPr>
            <w:tcW w:w="312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b/>
                <w:color w:val="FFFFFF"/>
              </w:rPr>
              <w:t>Efecto Contable y Legal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Recibo de Pago Definitivo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Emitido tras la cancelación total de una factura o deuda.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 xml:space="preserve">Cancela el </w:t>
            </w:r>
            <w:r w:rsidRPr="002E00A3">
              <w:rPr>
                <w:sz w:val="19"/>
                <w:lang w:val="es-419"/>
              </w:rPr>
              <w:t>saldo adeudado en la cuenta por cobrar/pagar.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Recibo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Cuenta</w:t>
            </w:r>
            <w:proofErr w:type="spellEnd"/>
            <w:r>
              <w:rPr>
                <w:sz w:val="19"/>
              </w:rPr>
              <w:t xml:space="preserve"> (Provisional)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Cancela de forma parcial la obligación, dejando un saldo remanente pendiente.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Reduce el activo/pasivo sin extinguir la relación jurídica.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Recibo de Caja Chica (Vale)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 xml:space="preserve">Documento </w:t>
            </w:r>
            <w:r w:rsidRPr="002E00A3">
              <w:rPr>
                <w:sz w:val="19"/>
                <w:lang w:val="es-419"/>
              </w:rPr>
              <w:t>interno provisional emitido para justificar desembolsos menores en efectivo.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Requiere posterior sustitución por la factura fiscal correspondiente.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Recibo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Arrendamiento</w:t>
            </w:r>
            <w:proofErr w:type="spellEnd"/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Emitido por el arrendador acreditando el cobro del canon mensual.</w:t>
            </w:r>
          </w:p>
        </w:tc>
        <w:tc>
          <w:tcPr>
            <w:tcW w:w="312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Sirve de soporte d</w:t>
            </w:r>
            <w:r w:rsidRPr="002E00A3">
              <w:rPr>
                <w:sz w:val="19"/>
                <w:lang w:val="es-419"/>
              </w:rPr>
              <w:t>e gasto deducible si cumple los requisitos tributarios de la alícuota aplicable.</w:t>
            </w:r>
          </w:p>
        </w:tc>
      </w:tr>
      <w:tr w:rsidR="00BE4BEA" w:rsidRPr="002E00A3">
        <w:trPr>
          <w:jc w:val="center"/>
        </w:trPr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lastRenderedPageBreak/>
              <w:t>Recibo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Custodia</w:t>
            </w:r>
            <w:proofErr w:type="spellEnd"/>
            <w:r>
              <w:rPr>
                <w:sz w:val="19"/>
              </w:rPr>
              <w:t xml:space="preserve"> / Depósito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Acredita la recepción de bienes u objetos no en concepto de propiedad sino de depósito o garantía.</w:t>
            </w:r>
          </w:p>
        </w:tc>
        <w:tc>
          <w:tcPr>
            <w:tcW w:w="31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No genera ingreso monetario; registra respons</w:t>
            </w:r>
            <w:r w:rsidRPr="002E00A3">
              <w:rPr>
                <w:sz w:val="19"/>
                <w:lang w:val="es-419"/>
              </w:rPr>
              <w:t>abilidad en cuentas de orden.</w:t>
            </w:r>
          </w:p>
        </w:tc>
      </w:tr>
    </w:tbl>
    <w:p w:rsidR="00BE4BEA" w:rsidRPr="002E00A3" w:rsidRDefault="00BE4BEA">
      <w:pPr>
        <w:spacing w:after="120"/>
        <w:rPr>
          <w:lang w:val="es-419"/>
        </w:rPr>
      </w:pP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4. EL TIQUE (TICKET / COMPROBANTE SIMPLIFICADO)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4.1 Definición Contable y Fiscal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El </w:t>
      </w:r>
      <w:r w:rsidRPr="002E00A3">
        <w:rPr>
          <w:b/>
          <w:lang w:val="es-419"/>
        </w:rPr>
        <w:t>Tique</w:t>
      </w:r>
      <w:r w:rsidRPr="002E00A3">
        <w:rPr>
          <w:lang w:val="es-419"/>
        </w:rPr>
        <w:t xml:space="preserve"> o </w:t>
      </w:r>
      <w:r w:rsidRPr="002E00A3">
        <w:rPr>
          <w:b/>
          <w:lang w:val="es-419"/>
        </w:rPr>
        <w:t>Comprobante Simplificado</w:t>
      </w:r>
      <w:r w:rsidRPr="002E00A3">
        <w:rPr>
          <w:lang w:val="es-419"/>
        </w:rPr>
        <w:t xml:space="preserve"> es un documento impreso de soporte de ventas masivas al por menor (minoristas), expedido obligatoriamente mediante </w:t>
      </w:r>
      <w:r w:rsidRPr="002E00A3">
        <w:rPr>
          <w:b/>
          <w:lang w:val="es-419"/>
        </w:rPr>
        <w:t>Máquinas Fiscales homologadas</w:t>
      </w:r>
      <w:r w:rsidRPr="002E00A3">
        <w:rPr>
          <w:lang w:val="es-419"/>
        </w:rPr>
        <w:t xml:space="preserve"> o puntos de venta automatizados en establecimientos comerciales abiertos al público (supermercados, farmacias,</w:t>
      </w:r>
      <w:r w:rsidRPr="002E00A3">
        <w:rPr>
          <w:lang w:val="es-419"/>
        </w:rPr>
        <w:t xml:space="preserve"> restaurantes).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4.2 Diferencias Sustanciales entre Tique y Factura Legal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Bajo la normativa del SENIAT (Providencia SNAT/2011/00071):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Identificación del Adquirente:</w:t>
      </w:r>
      <w:r w:rsidRPr="002E00A3">
        <w:rPr>
          <w:lang w:val="es-419"/>
        </w:rPr>
        <w:t xml:space="preserve"> El tique estándar no requiere identificar expresamente los datos del comprador (Nombre/RIF),</w:t>
      </w:r>
      <w:r w:rsidRPr="002E00A3">
        <w:rPr>
          <w:lang w:val="es-419"/>
        </w:rPr>
        <w:t xml:space="preserve"> mientras que la Factura exige la identificación completa.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Acreditación del Crédito Fiscal del IVA: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 xml:space="preserve">El tique emitido por máquina fiscal </w:t>
      </w:r>
      <w:r w:rsidRPr="002E00A3">
        <w:rPr>
          <w:b/>
          <w:lang w:val="es-419"/>
        </w:rPr>
        <w:t>no otorga derecho a deducción de Crédito Fiscal del IVA ni a gasto para el ISLR</w:t>
      </w:r>
      <w:r w:rsidRPr="002E00A3">
        <w:rPr>
          <w:lang w:val="es-419"/>
        </w:rPr>
        <w:t xml:space="preserve"> para el comprador, salvo que la máquina </w:t>
      </w:r>
      <w:r w:rsidRPr="002E00A3">
        <w:rPr>
          <w:lang w:val="es-419"/>
        </w:rPr>
        <w:t>fiscal esté programada para imprimir expresamente el RIF y Razón Social del comprador en el cuerpo del tique.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 xml:space="preserve">La </w:t>
      </w:r>
      <w:r w:rsidRPr="002E00A3">
        <w:rPr>
          <w:b/>
          <w:lang w:val="es-419"/>
        </w:rPr>
        <w:t>Factura</w:t>
      </w:r>
      <w:r w:rsidRPr="002E00A3">
        <w:rPr>
          <w:lang w:val="es-419"/>
        </w:rPr>
        <w:t xml:space="preserve"> constituye el instrumento idóneo y legal para respaldar el Crédito Fiscal y el gasto deducible.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5. LA FACTURA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5.1 Definición Doctrinal</w:t>
      </w:r>
      <w:r w:rsidRPr="002E00A3">
        <w:rPr>
          <w:color w:val="2C5282"/>
          <w:sz w:val="24"/>
          <w:lang w:val="es-419"/>
        </w:rPr>
        <w:t xml:space="preserve"> y Relevancia Tributaria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La </w:t>
      </w:r>
      <w:r w:rsidRPr="002E00A3">
        <w:rPr>
          <w:b/>
          <w:lang w:val="es-419"/>
        </w:rPr>
        <w:t>Factura</w:t>
      </w:r>
      <w:r w:rsidRPr="002E00A3">
        <w:rPr>
          <w:lang w:val="es-419"/>
        </w:rPr>
        <w:t xml:space="preserve"> es el </w:t>
      </w:r>
      <w:r w:rsidRPr="002E00A3">
        <w:rPr>
          <w:b/>
          <w:lang w:val="es-419"/>
        </w:rPr>
        <w:t>documento mercantil y tributario de carácter obligatorio expedido por el vendedor o prestador de servicios, que atestigua legalmente la compraventa de bienes o la ejecución de obras/servicios, detallando las caract</w:t>
      </w:r>
      <w:r w:rsidRPr="002E00A3">
        <w:rPr>
          <w:b/>
          <w:lang w:val="es-419"/>
        </w:rPr>
        <w:t>erísticas de la transacción, las bases imponibles y los impuestos devengados (IVA e ISLR)</w:t>
      </w:r>
      <w:r w:rsidRPr="002E00A3">
        <w:rPr>
          <w:lang w:val="es-419"/>
        </w:rPr>
        <w:t>.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Según </w:t>
      </w:r>
      <w:r w:rsidRPr="002E00A3">
        <w:rPr>
          <w:b/>
          <w:lang w:val="es-419"/>
        </w:rPr>
        <w:t xml:space="preserve">Manuel </w:t>
      </w:r>
      <w:proofErr w:type="spellStart"/>
      <w:r w:rsidRPr="002E00A3">
        <w:rPr>
          <w:b/>
          <w:lang w:val="es-419"/>
        </w:rPr>
        <w:t>Broseta</w:t>
      </w:r>
      <w:proofErr w:type="spellEnd"/>
      <w:r w:rsidRPr="002E00A3">
        <w:rPr>
          <w:b/>
          <w:lang w:val="es-419"/>
        </w:rPr>
        <w:t xml:space="preserve"> Pont</w:t>
      </w:r>
      <w:r w:rsidRPr="002E00A3">
        <w:rPr>
          <w:lang w:val="es-419"/>
        </w:rPr>
        <w:t>, la factura cumple una triple función: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Probatoria:</w:t>
      </w:r>
      <w:r w:rsidRPr="002E00A3">
        <w:rPr>
          <w:lang w:val="es-419"/>
        </w:rPr>
        <w:t xml:space="preserve"> Sirve de prueba de la existencia del contrato mercantil de compraventa.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Contable:</w:t>
      </w:r>
      <w:r w:rsidRPr="002E00A3">
        <w:rPr>
          <w:lang w:val="es-419"/>
        </w:rPr>
        <w:t xml:space="preserve"> Constituye el soporte fundamental de los asientos en los Libros Diario, Mayor y Libros Auxiliares de Compras y Ventas.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lastRenderedPageBreak/>
        <w:t>Fiscal:</w:t>
      </w:r>
      <w:r w:rsidRPr="002E00A3">
        <w:rPr>
          <w:lang w:val="es-419"/>
        </w:rPr>
        <w:t xml:space="preserve"> Es el título constitutivo del </w:t>
      </w:r>
      <w:r w:rsidRPr="002E00A3">
        <w:rPr>
          <w:b/>
          <w:lang w:val="es-419"/>
        </w:rPr>
        <w:t>Débito Fiscal</w:t>
      </w:r>
      <w:r w:rsidRPr="002E00A3">
        <w:rPr>
          <w:lang w:val="es-419"/>
        </w:rPr>
        <w:t xml:space="preserve"> para el emisor y del </w:t>
      </w:r>
      <w:r w:rsidRPr="002E00A3">
        <w:rPr>
          <w:b/>
          <w:lang w:val="es-419"/>
        </w:rPr>
        <w:t>Crédito Fiscal</w:t>
      </w:r>
      <w:r w:rsidRPr="002E00A3">
        <w:rPr>
          <w:lang w:val="es-419"/>
        </w:rPr>
        <w:t xml:space="preserve"> para el adquirente frente a la Administración Tr</w:t>
      </w:r>
      <w:r w:rsidRPr="002E00A3">
        <w:rPr>
          <w:lang w:val="es-419"/>
        </w:rPr>
        <w:t>ibutaria (SENIAT).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5.2 Tipos de Factura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En el derecho comparado y la legislación venezolana se identifican los siguientes tipos de factura:</w:t>
      </w:r>
    </w:p>
    <w:p w:rsidR="00BE4BEA" w:rsidRDefault="002E00A3">
      <w:pPr>
        <w:spacing w:before="160" w:after="40"/>
        <w:jc w:val="center"/>
      </w:pPr>
      <w:r>
        <w:rPr>
          <w:noProof/>
          <w:lang w:val="es-419" w:eastAsia="es-419"/>
        </w:rPr>
        <w:drawing>
          <wp:inline distT="0" distB="0" distL="0" distR="0">
            <wp:extent cx="5303520" cy="530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pos_de_factura_diagram_178620230729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BEA" w:rsidRPr="002E00A3" w:rsidRDefault="002E00A3">
      <w:pPr>
        <w:spacing w:after="160"/>
        <w:jc w:val="center"/>
        <w:rPr>
          <w:lang w:val="es-419"/>
        </w:rPr>
      </w:pPr>
      <w:bookmarkStart w:id="0" w:name="_GoBack"/>
      <w:r w:rsidRPr="002E00A3">
        <w:rPr>
          <w:i/>
          <w:color w:val="718096"/>
          <w:sz w:val="18"/>
          <w:lang w:val="es-419"/>
        </w:rPr>
        <w:t>Figura</w:t>
      </w:r>
      <w:bookmarkEnd w:id="0"/>
      <w:r w:rsidRPr="002E00A3">
        <w:rPr>
          <w:i/>
          <w:color w:val="718096"/>
          <w:sz w:val="18"/>
          <w:lang w:val="es-419"/>
        </w:rPr>
        <w:t xml:space="preserve">: Esquema </w:t>
      </w:r>
      <w:proofErr w:type="spellStart"/>
      <w:r w:rsidRPr="002E00A3">
        <w:rPr>
          <w:i/>
          <w:color w:val="718096"/>
          <w:sz w:val="18"/>
          <w:lang w:val="es-419"/>
        </w:rPr>
        <w:t>Infográfico</w:t>
      </w:r>
      <w:proofErr w:type="spellEnd"/>
      <w:r w:rsidRPr="002E00A3">
        <w:rPr>
          <w:i/>
          <w:color w:val="718096"/>
          <w:sz w:val="18"/>
          <w:lang w:val="es-419"/>
        </w:rPr>
        <w:t xml:space="preserve"> de Tipos de Factura</w:t>
      </w:r>
    </w:p>
    <w:p w:rsidR="00BE4BEA" w:rsidRPr="002E00A3" w:rsidRDefault="00BE4BEA">
      <w:pPr>
        <w:spacing w:after="120"/>
        <w:rPr>
          <w:lang w:val="es-419"/>
        </w:rPr>
      </w:pPr>
    </w:p>
    <w:p w:rsidR="00BE4BEA" w:rsidRDefault="002E00A3">
      <w:pPr>
        <w:pStyle w:val="Ttulo4"/>
        <w:spacing w:before="240" w:after="120"/>
      </w:pPr>
      <w:proofErr w:type="spellStart"/>
      <w:r>
        <w:rPr>
          <w:color w:val="2D3748"/>
        </w:rPr>
        <w:t>Descripción</w:t>
      </w:r>
      <w:proofErr w:type="spellEnd"/>
      <w:r>
        <w:rPr>
          <w:color w:val="2D3748"/>
        </w:rPr>
        <w:t xml:space="preserve"> y </w:t>
      </w:r>
      <w:proofErr w:type="spellStart"/>
      <w:r>
        <w:rPr>
          <w:color w:val="2D3748"/>
        </w:rPr>
        <w:t>Análisis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Técnico</w:t>
      </w:r>
      <w:proofErr w:type="spellEnd"/>
      <w:r>
        <w:rPr>
          <w:color w:val="2D3748"/>
        </w:rPr>
        <w:t>: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Factura Ordinaria:</w:t>
      </w:r>
      <w:r w:rsidRPr="002E00A3">
        <w:rPr>
          <w:lang w:val="es-419"/>
        </w:rPr>
        <w:t xml:space="preserve"> Comprobante tributario estándar emitido en el momento de la venta o prestación del servicio, cumpliendo con la correlatividad del número de control e imprenta autorizada.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lastRenderedPageBreak/>
        <w:t>Factura Rectificativa:</w:t>
      </w:r>
      <w:r w:rsidRPr="002E00A3">
        <w:rPr>
          <w:lang w:val="es-419"/>
        </w:rPr>
        <w:t xml:space="preserve"> Documento expedido para corregir o rectific</w:t>
      </w:r>
      <w:r w:rsidRPr="002E00A3">
        <w:rPr>
          <w:lang w:val="es-419"/>
        </w:rPr>
        <w:t xml:space="preserve">ar una factura anterior que contenía errores materiales, omisiones en la base imponible o deficiencias en las alícuotas aplicadas. En el sistema venezolano, estas rectificaciones se canalizan formalmente mediante las </w:t>
      </w:r>
      <w:r w:rsidRPr="002E00A3">
        <w:rPr>
          <w:b/>
          <w:lang w:val="es-419"/>
        </w:rPr>
        <w:t>Notas de Débito y Crédito</w:t>
      </w:r>
      <w:r w:rsidRPr="002E00A3">
        <w:rPr>
          <w:lang w:val="es-419"/>
        </w:rPr>
        <w:t>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Factura Reca</w:t>
      </w:r>
      <w:r w:rsidRPr="002E00A3">
        <w:rPr>
          <w:b/>
          <w:lang w:val="es-419"/>
        </w:rPr>
        <w:t>pitulativa:</w:t>
      </w:r>
      <w:r w:rsidRPr="002E00A3">
        <w:rPr>
          <w:lang w:val="es-419"/>
        </w:rPr>
        <w:t xml:space="preserve"> Agrupa en un único documento fiscal diversas operaciones comercializadas con un mismo comprador dentro de un periodo de tiempo determinado (máximo un mes calendario), haciendo referencia a los albaranes correspondientes.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Factura Proforma:</w:t>
      </w:r>
      <w:r w:rsidRPr="002E00A3">
        <w:rPr>
          <w:lang w:val="es-419"/>
        </w:rPr>
        <w:t xml:space="preserve"> Es un</w:t>
      </w:r>
      <w:r w:rsidRPr="002E00A3">
        <w:rPr>
          <w:lang w:val="es-419"/>
        </w:rPr>
        <w:t xml:space="preserve">a </w:t>
      </w:r>
      <w:r w:rsidRPr="002E00A3">
        <w:rPr>
          <w:b/>
          <w:lang w:val="es-419"/>
        </w:rPr>
        <w:t>oferta comercial redactada en formato de factura</w:t>
      </w:r>
      <w:r w:rsidRPr="002E00A3">
        <w:rPr>
          <w:lang w:val="es-419"/>
        </w:rPr>
        <w:t xml:space="preserve">, emitida con carácter previo a la venta (frecuentemente utilizada en comercio internacional e importaciones CIF/FOB). </w:t>
      </w:r>
      <w:r w:rsidRPr="002E00A3">
        <w:rPr>
          <w:b/>
          <w:lang w:val="es-419"/>
        </w:rPr>
        <w:t>No tiene validez contable ni tributaria</w:t>
      </w:r>
      <w:r w:rsidRPr="002E00A3">
        <w:rPr>
          <w:lang w:val="es-419"/>
        </w:rPr>
        <w:t>, no genera débito fiscal ni constituye prueba d</w:t>
      </w:r>
      <w:r w:rsidRPr="002E00A3">
        <w:rPr>
          <w:lang w:val="es-419"/>
        </w:rPr>
        <w:t>e cobro/deuda; se emite para la apertura de cartas de crédito bancarias o licitaciones.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Factura Electrónica:</w:t>
      </w:r>
      <w:r w:rsidRPr="002E00A3">
        <w:rPr>
          <w:lang w:val="es-419"/>
        </w:rPr>
        <w:t xml:space="preserve"> Documento digital generado, transmitido y almacenado en formato XML/JSON con firma digital encriptada. En Venezuela, su implementación está regulad</w:t>
      </w:r>
      <w:r w:rsidRPr="002E00A3">
        <w:rPr>
          <w:lang w:val="es-419"/>
        </w:rPr>
        <w:t>a por resoluciones especiales del SENIAT para sectores específicos y contribuyentes especiales.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t>6. COMPROBANTE DE PAGO (VOUCHER)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6.1 Definición y Función en la Auditoría Contable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El </w:t>
      </w:r>
      <w:r w:rsidRPr="002E00A3">
        <w:rPr>
          <w:b/>
          <w:lang w:val="es-419"/>
        </w:rPr>
        <w:t>Comprobante de Pago</w:t>
      </w:r>
      <w:r w:rsidRPr="002E00A3">
        <w:rPr>
          <w:lang w:val="es-419"/>
        </w:rPr>
        <w:t xml:space="preserve"> (o </w:t>
      </w:r>
      <w:proofErr w:type="spellStart"/>
      <w:r w:rsidRPr="002E00A3">
        <w:rPr>
          <w:i/>
          <w:lang w:val="es-419"/>
        </w:rPr>
        <w:t>Voucher</w:t>
      </w:r>
      <w:proofErr w:type="spellEnd"/>
      <w:r w:rsidRPr="002E00A3">
        <w:rPr>
          <w:lang w:val="es-419"/>
        </w:rPr>
        <w:t xml:space="preserve"> de Egreso / Ingreso) es un </w:t>
      </w:r>
      <w:r w:rsidRPr="002E00A3">
        <w:rPr>
          <w:b/>
          <w:lang w:val="es-419"/>
        </w:rPr>
        <w:t>documento inter</w:t>
      </w:r>
      <w:r w:rsidRPr="002E00A3">
        <w:rPr>
          <w:b/>
          <w:lang w:val="es-419"/>
        </w:rPr>
        <w:t>no de control contable que sintetiza y respalda la ejecución de una transacción financiera monetaria (salida o entrada de dinero del banco o caja)</w:t>
      </w:r>
      <w:r w:rsidRPr="002E00A3">
        <w:rPr>
          <w:lang w:val="es-419"/>
        </w:rPr>
        <w:t>.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6.2 Estructura y Regla del Control Interno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>A diferencia de los documentos externos (como la factura del prov</w:t>
      </w:r>
      <w:r w:rsidRPr="002E00A3">
        <w:rPr>
          <w:lang w:val="es-419"/>
        </w:rPr>
        <w:t>eedor), el Comprobante de Pago es un documento sintético estructurado internamente por la entidad que contiene: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Referencia de las facturas o contratos cancelados.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lang w:val="es-419"/>
        </w:rPr>
        <w:t>Identificación del medio de pago (Número de transferencia interbancaria, cheque o pago electr</w:t>
      </w:r>
      <w:r w:rsidRPr="002E00A3">
        <w:rPr>
          <w:lang w:val="es-419"/>
        </w:rPr>
        <w:t>ónico).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Imputación Contable:</w:t>
      </w:r>
      <w:r w:rsidRPr="002E00A3">
        <w:rPr>
          <w:lang w:val="es-419"/>
        </w:rPr>
        <w:t xml:space="preserve"> Código de la cuenta del libro mayor debitada y acreditada.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Firmas de Autorización Segregada:</w:t>
      </w:r>
      <w:r w:rsidRPr="002E00A3">
        <w:rPr>
          <w:lang w:val="es-419"/>
        </w:rPr>
        <w:t xml:space="preserve"> Firma del preparador (Contador), del revisor (Auditor interno) y del aprobador (Gerente Financiero / Tesorero), dando cumplimiento al principio de segregación de funciones exigido por las normas COSO.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2"/>
        <w:spacing w:before="240" w:after="120"/>
        <w:rPr>
          <w:lang w:val="es-419"/>
        </w:rPr>
      </w:pPr>
      <w:r w:rsidRPr="002E00A3">
        <w:rPr>
          <w:color w:val="2B6CB0"/>
          <w:sz w:val="30"/>
          <w:lang w:val="es-419"/>
        </w:rPr>
        <w:lastRenderedPageBreak/>
        <w:t>7. NOTAS DE CONTABILIDAD, DE DÉBITO Y DE CRÉDITO</w:t>
      </w: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 xml:space="preserve">7.1 </w:t>
      </w:r>
      <w:r w:rsidRPr="002E00A3">
        <w:rPr>
          <w:color w:val="2C5282"/>
          <w:sz w:val="24"/>
          <w:lang w:val="es-419"/>
        </w:rPr>
        <w:t>Notas de Contabilidad (Comprobante de Diario / Registro)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Es el documento interno utilizado por el departamento de contabilidad para </w:t>
      </w:r>
      <w:r w:rsidRPr="002E00A3">
        <w:rPr>
          <w:b/>
          <w:lang w:val="es-419"/>
        </w:rPr>
        <w:t>autorizar y respaldar asientos contables no derivados de compras o ventas directas en efectivo/crédito con facturas externas</w:t>
      </w:r>
      <w:r w:rsidRPr="002E00A3">
        <w:rPr>
          <w:lang w:val="es-419"/>
        </w:rPr>
        <w:t>.</w:t>
      </w:r>
    </w:p>
    <w:p w:rsidR="00BE4BEA" w:rsidRDefault="002E00A3">
      <w:pPr>
        <w:pStyle w:val="Ttulo4"/>
        <w:spacing w:before="240" w:after="120"/>
      </w:pPr>
      <w:proofErr w:type="spellStart"/>
      <w:r>
        <w:rPr>
          <w:color w:val="2D3748"/>
        </w:rPr>
        <w:t>Usos</w:t>
      </w:r>
      <w:proofErr w:type="spellEnd"/>
      <w:r>
        <w:rPr>
          <w:color w:val="2D3748"/>
        </w:rPr>
        <w:t xml:space="preserve"> </w:t>
      </w:r>
      <w:proofErr w:type="spellStart"/>
      <w:r>
        <w:rPr>
          <w:color w:val="2D3748"/>
        </w:rPr>
        <w:t>Principales</w:t>
      </w:r>
      <w:proofErr w:type="spellEnd"/>
      <w:r>
        <w:rPr>
          <w:color w:val="2D3748"/>
        </w:rPr>
        <w:t>: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 xml:space="preserve">Registros de </w:t>
      </w:r>
      <w:proofErr w:type="spellStart"/>
      <w:r w:rsidRPr="002E00A3">
        <w:rPr>
          <w:b/>
          <w:lang w:val="es-419"/>
        </w:rPr>
        <w:t>periodificación</w:t>
      </w:r>
      <w:proofErr w:type="spellEnd"/>
      <w:r w:rsidRPr="002E00A3">
        <w:rPr>
          <w:b/>
          <w:lang w:val="es-419"/>
        </w:rPr>
        <w:t xml:space="preserve"> y </w:t>
      </w:r>
      <w:proofErr w:type="spellStart"/>
      <w:r w:rsidRPr="002E00A3">
        <w:rPr>
          <w:b/>
          <w:lang w:val="es-419"/>
        </w:rPr>
        <w:t>devengamiento</w:t>
      </w:r>
      <w:proofErr w:type="spellEnd"/>
      <w:r w:rsidRPr="002E00A3">
        <w:rPr>
          <w:lang w:val="es-419"/>
        </w:rPr>
        <w:t xml:space="preserve"> (gastos pagados por anticipado, amortizaciones).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 xml:space="preserve">Registros de </w:t>
      </w:r>
      <w:r w:rsidRPr="002E00A3">
        <w:rPr>
          <w:b/>
          <w:lang w:val="es-419"/>
        </w:rPr>
        <w:t>depreciación de activos fijos</w:t>
      </w:r>
      <w:r w:rsidRPr="002E00A3">
        <w:rPr>
          <w:lang w:val="es-419"/>
        </w:rPr>
        <w:t xml:space="preserve"> y deterioro de valor.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Asientos de corrección de errores</w:t>
      </w:r>
      <w:r w:rsidRPr="002E00A3">
        <w:rPr>
          <w:lang w:val="es-419"/>
        </w:rPr>
        <w:t xml:space="preserve"> en la codificación del libro diario.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b/>
          <w:lang w:val="es-419"/>
        </w:rPr>
        <w:t>Asient</w:t>
      </w:r>
      <w:r w:rsidRPr="002E00A3">
        <w:rPr>
          <w:b/>
          <w:lang w:val="es-419"/>
        </w:rPr>
        <w:t>os de Cierre Nominal</w:t>
      </w:r>
      <w:r w:rsidRPr="002E00A3">
        <w:rPr>
          <w:lang w:val="es-419"/>
        </w:rPr>
        <w:t xml:space="preserve"> de ingresos y gastos al final del ejercicio económico.</w:t>
      </w: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t>7.2 Notas de Débito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t>A) Definición Jurídica y Causa de Emisión: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Es un comprobante mercantil emitido por el vendedor para </w:t>
      </w:r>
      <w:r w:rsidRPr="002E00A3">
        <w:rPr>
          <w:b/>
          <w:lang w:val="es-419"/>
        </w:rPr>
        <w:t>notificar al comprador un incremento en el saldo adeudado d</w:t>
      </w:r>
      <w:r w:rsidRPr="002E00A3">
        <w:rPr>
          <w:b/>
          <w:lang w:val="es-419"/>
        </w:rPr>
        <w:t>e su cuenta por pagar (o un aumento en el precio originalmente facturado)</w:t>
      </w:r>
      <w:r w:rsidRPr="002E00A3">
        <w:rPr>
          <w:lang w:val="es-419"/>
        </w:rPr>
        <w:t>.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t>B) Causas Típicas de Emisión: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>Errores de cálculo en la factura original (subfacturación de precios).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>Cobro de intereses de mora por extemporaneidad en el pago.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>Cargos adicionales po</w:t>
      </w:r>
      <w:r w:rsidRPr="002E00A3">
        <w:rPr>
          <w:lang w:val="es-419"/>
        </w:rPr>
        <w:t>r fletes, embalajes o gastos de transporte no incluidos en la factura inicial.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t>C) Efecto Contable y Tributario (IVA):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La Nota de Débito </w:t>
      </w:r>
      <w:r w:rsidRPr="002E00A3">
        <w:rPr>
          <w:b/>
          <w:lang w:val="es-419"/>
        </w:rPr>
        <w:t>incrementa la base imponible y genera un Débito Fiscal adicional para el emisor</w:t>
      </w:r>
      <w:r w:rsidRPr="002E00A3">
        <w:rPr>
          <w:lang w:val="es-419"/>
        </w:rPr>
        <w:t xml:space="preserve">, y paralelamente otorga un </w:t>
      </w:r>
      <w:r w:rsidRPr="002E00A3">
        <w:rPr>
          <w:b/>
          <w:lang w:val="es-419"/>
        </w:rPr>
        <w:t>Crédito Fisca</w:t>
      </w:r>
      <w:r w:rsidRPr="002E00A3">
        <w:rPr>
          <w:b/>
          <w:lang w:val="es-419"/>
        </w:rPr>
        <w:t>l mayor para el adquirente</w:t>
      </w:r>
      <w:r w:rsidRPr="002E00A3">
        <w:rPr>
          <w:lang w:val="es-419"/>
        </w:rPr>
        <w:t>, debiendo registrarse correlativamente en los Libros Auxiliares de IVA del periodo.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E4BEA" w:rsidRPr="002E00A3">
        <w:trPr>
          <w:jc w:val="center"/>
        </w:trPr>
        <w:tc>
          <w:tcPr>
            <w:tcW w:w="936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rFonts w:ascii="Consolas" w:hAnsi="Consolas"/>
                <w:sz w:val="19"/>
                <w:lang w:val="es-419"/>
              </w:rPr>
              <w:t>Efecto Patrimonial:</w:t>
            </w:r>
            <w:r w:rsidRPr="002E00A3">
              <w:rPr>
                <w:rFonts w:ascii="Consolas" w:hAnsi="Consolas"/>
                <w:sz w:val="19"/>
                <w:lang w:val="es-419"/>
              </w:rPr>
              <w:br/>
            </w:r>
            <w:r>
              <w:rPr>
                <w:rFonts w:ascii="Consolas" w:hAnsi="Consolas"/>
                <w:sz w:val="19"/>
              </w:rPr>
              <w:t>Δ</w:t>
            </w:r>
            <w:r w:rsidRPr="002E00A3">
              <w:rPr>
                <w:rFonts w:ascii="Consolas" w:hAnsi="Consolas"/>
                <w:sz w:val="19"/>
                <w:lang w:val="es-419"/>
              </w:rPr>
              <w:t xml:space="preserve"> Activo (Cuentas por Cobrar)  = (+) Aumenta</w:t>
            </w:r>
            <w:r w:rsidRPr="002E00A3">
              <w:rPr>
                <w:rFonts w:ascii="Consolas" w:hAnsi="Consolas"/>
                <w:sz w:val="19"/>
                <w:lang w:val="es-419"/>
              </w:rPr>
              <w:br/>
            </w:r>
            <w:r>
              <w:rPr>
                <w:rFonts w:ascii="Consolas" w:hAnsi="Consolas"/>
                <w:sz w:val="19"/>
              </w:rPr>
              <w:t>Δ</w:t>
            </w:r>
            <w:r w:rsidRPr="002E00A3">
              <w:rPr>
                <w:rFonts w:ascii="Consolas" w:hAnsi="Consolas"/>
                <w:sz w:val="19"/>
                <w:lang w:val="es-419"/>
              </w:rPr>
              <w:t xml:space="preserve"> Ingresos / Gastos Reembolsados = (+) Aumenta</w:t>
            </w:r>
            <w:r w:rsidRPr="002E00A3">
              <w:rPr>
                <w:rFonts w:ascii="Consolas" w:hAnsi="Consolas"/>
                <w:sz w:val="19"/>
                <w:lang w:val="es-419"/>
              </w:rPr>
              <w:br/>
            </w:r>
            <w:r>
              <w:rPr>
                <w:rFonts w:ascii="Consolas" w:hAnsi="Consolas"/>
                <w:sz w:val="19"/>
              </w:rPr>
              <w:t>Δ</w:t>
            </w:r>
            <w:r w:rsidRPr="002E00A3">
              <w:rPr>
                <w:rFonts w:ascii="Consolas" w:hAnsi="Consolas"/>
                <w:sz w:val="19"/>
                <w:lang w:val="es-419"/>
              </w:rPr>
              <w:t xml:space="preserve"> Débito Fiscal IVA              </w:t>
            </w:r>
            <w:r w:rsidRPr="002E00A3">
              <w:rPr>
                <w:rFonts w:ascii="Consolas" w:hAnsi="Consolas"/>
                <w:sz w:val="19"/>
                <w:lang w:val="es-419"/>
              </w:rPr>
              <w:t>= (+) Aumenta</w:t>
            </w:r>
          </w:p>
        </w:tc>
      </w:tr>
    </w:tbl>
    <w:p w:rsidR="00BE4BEA" w:rsidRPr="002E00A3" w:rsidRDefault="00BE4BEA">
      <w:pPr>
        <w:spacing w:after="120"/>
        <w:rPr>
          <w:lang w:val="es-419"/>
        </w:rPr>
      </w:pP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3"/>
        <w:spacing w:before="240" w:after="120"/>
        <w:rPr>
          <w:lang w:val="es-419"/>
        </w:rPr>
      </w:pPr>
      <w:r w:rsidRPr="002E00A3">
        <w:rPr>
          <w:color w:val="2C5282"/>
          <w:sz w:val="24"/>
          <w:lang w:val="es-419"/>
        </w:rPr>
        <w:lastRenderedPageBreak/>
        <w:t>7.3 Notas de Crédito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t>A) Definición Jurídica y Causa de Emisión:</w:t>
      </w:r>
    </w:p>
    <w:p w:rsidR="00BE4BEA" w:rsidRPr="002E00A3" w:rsidRDefault="002E00A3">
      <w:pPr>
        <w:spacing w:after="120"/>
        <w:rPr>
          <w:lang w:val="es-419"/>
        </w:rPr>
      </w:pPr>
      <w:r w:rsidRPr="002E00A3">
        <w:rPr>
          <w:lang w:val="es-419"/>
        </w:rPr>
        <w:t xml:space="preserve">Es el comprobante mercantil expedido por el vendedor con el objeto de </w:t>
      </w:r>
      <w:r w:rsidRPr="002E00A3">
        <w:rPr>
          <w:b/>
          <w:lang w:val="es-419"/>
        </w:rPr>
        <w:t xml:space="preserve">notificar al comprador una disminución o anulación parcial o total de la deuda derivada de una factura </w:t>
      </w:r>
      <w:r w:rsidRPr="002E00A3">
        <w:rPr>
          <w:b/>
          <w:lang w:val="es-419"/>
        </w:rPr>
        <w:t>previa</w:t>
      </w:r>
      <w:r w:rsidRPr="002E00A3">
        <w:rPr>
          <w:lang w:val="es-419"/>
        </w:rPr>
        <w:t>.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t>B) Causas Típicas de Emisión: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>Devolución física de mercancías defectuosas o no conformes.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>Concesión de descuentos por pronto pago o bonificaciones comerciales posteriores a la facturación.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>Rescisión o anulación total de la venta o contrato de servi</w:t>
      </w:r>
      <w:r w:rsidRPr="002E00A3">
        <w:rPr>
          <w:lang w:val="es-419"/>
        </w:rPr>
        <w:t>cio.</w:t>
      </w:r>
    </w:p>
    <w:p w:rsidR="00BE4BEA" w:rsidRPr="002E00A3" w:rsidRDefault="002E00A3">
      <w:pPr>
        <w:pStyle w:val="Listaconvietas"/>
        <w:spacing w:after="60"/>
        <w:rPr>
          <w:lang w:val="es-419"/>
        </w:rPr>
      </w:pPr>
      <w:r w:rsidRPr="002E00A3">
        <w:rPr>
          <w:lang w:val="es-419"/>
        </w:rPr>
        <w:t>Corrección por sobrefacturación en el precio unitario cobrado.</w:t>
      </w:r>
    </w:p>
    <w:p w:rsidR="00BE4BEA" w:rsidRPr="002E00A3" w:rsidRDefault="002E00A3">
      <w:pPr>
        <w:pStyle w:val="Ttulo4"/>
        <w:spacing w:before="240" w:after="120"/>
        <w:rPr>
          <w:lang w:val="es-419"/>
        </w:rPr>
      </w:pPr>
      <w:r w:rsidRPr="002E00A3">
        <w:rPr>
          <w:color w:val="2D3748"/>
          <w:lang w:val="es-419"/>
        </w:rPr>
        <w:t>C) Efecto Contable y Tributario (IVA - Art. 61 Ley de IVA):</w:t>
      </w:r>
    </w:p>
    <w:p w:rsidR="00BE4BEA" w:rsidRDefault="002E00A3">
      <w:pPr>
        <w:spacing w:after="120"/>
      </w:pPr>
      <w:r w:rsidRPr="002E00A3">
        <w:rPr>
          <w:lang w:val="es-419"/>
        </w:rPr>
        <w:t xml:space="preserve">Bajo la Providencia SENIAT 00071, la Nota de Crédito debe hacer referencia expresa al </w:t>
      </w:r>
      <w:r w:rsidRPr="002E00A3">
        <w:rPr>
          <w:b/>
          <w:lang w:val="es-419"/>
        </w:rPr>
        <w:t xml:space="preserve">número y fecha de la factura original que </w:t>
      </w:r>
      <w:r w:rsidRPr="002E00A3">
        <w:rPr>
          <w:b/>
          <w:lang w:val="es-419"/>
        </w:rPr>
        <w:t>modifica</w:t>
      </w:r>
      <w:r w:rsidRPr="002E00A3">
        <w:rPr>
          <w:lang w:val="es-419"/>
        </w:rPr>
        <w:t xml:space="preserve">. </w:t>
      </w:r>
      <w:r>
        <w:t xml:space="preserve">Su </w:t>
      </w:r>
      <w:proofErr w:type="spellStart"/>
      <w:r>
        <w:t>emisión</w:t>
      </w:r>
      <w:proofErr w:type="spellEnd"/>
      <w:r>
        <w:t>: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Para el Vendedor:</w:t>
      </w:r>
      <w:r w:rsidRPr="002E00A3">
        <w:rPr>
          <w:lang w:val="es-419"/>
        </w:rPr>
        <w:t xml:space="preserve"> Otorga un </w:t>
      </w:r>
      <w:r w:rsidRPr="002E00A3">
        <w:rPr>
          <w:b/>
          <w:lang w:val="es-419"/>
        </w:rPr>
        <w:t>Crédito Fiscal</w:t>
      </w:r>
      <w:r w:rsidRPr="002E00A3">
        <w:rPr>
          <w:lang w:val="es-419"/>
        </w:rPr>
        <w:t xml:space="preserve"> (o deducción del Débito Fiscal) ajustando a la baja el impuesto a pagar.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Para el Comprador:</w:t>
      </w:r>
      <w:r w:rsidRPr="002E00A3">
        <w:rPr>
          <w:lang w:val="es-419"/>
        </w:rPr>
        <w:t xml:space="preserve"> Reduce su Crédito Fiscal previo, generando la obligación de ajustar su deducción tributaria en el L</w:t>
      </w:r>
      <w:r w:rsidRPr="002E00A3">
        <w:rPr>
          <w:lang w:val="es-419"/>
        </w:rPr>
        <w:t>ibro de Compras.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E4BEA" w:rsidRPr="002E00A3">
        <w:trPr>
          <w:jc w:val="center"/>
        </w:trPr>
        <w:tc>
          <w:tcPr>
            <w:tcW w:w="9360" w:type="dxa"/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rFonts w:ascii="Consolas" w:hAnsi="Consolas"/>
                <w:sz w:val="19"/>
                <w:lang w:val="es-419"/>
              </w:rPr>
              <w:t>------------------- Asiento Contable Vendedor (Devolución sobre Ventas) -------------------</w:t>
            </w:r>
            <w:r w:rsidRPr="002E00A3">
              <w:rPr>
                <w:rFonts w:ascii="Consolas" w:hAnsi="Consolas"/>
                <w:sz w:val="19"/>
                <w:lang w:val="es-419"/>
              </w:rPr>
              <w:br/>
              <w:t>Devoluciones y Rebajas sobre Ventas (Resultado / Nominal) ...... XX.XXX,XX BS</w:t>
            </w:r>
            <w:r w:rsidRPr="002E00A3">
              <w:rPr>
                <w:rFonts w:ascii="Consolas" w:hAnsi="Consolas"/>
                <w:sz w:val="19"/>
                <w:lang w:val="es-419"/>
              </w:rPr>
              <w:br/>
              <w:t xml:space="preserve">Ajuste a Débito Fiscal IVA (Crédito Fiscal por Nota de Crédito) .. </w:t>
            </w:r>
            <w:r w:rsidRPr="002E00A3">
              <w:rPr>
                <w:rFonts w:ascii="Consolas" w:hAnsi="Consolas"/>
                <w:sz w:val="19"/>
                <w:lang w:val="es-419"/>
              </w:rPr>
              <w:t>X.XXX,XX BS</w:t>
            </w:r>
            <w:r w:rsidRPr="002E00A3">
              <w:rPr>
                <w:rFonts w:ascii="Consolas" w:hAnsi="Consolas"/>
                <w:sz w:val="19"/>
                <w:lang w:val="es-419"/>
              </w:rPr>
              <w:br/>
              <w:t xml:space="preserve">    a Cuentas por Cobrar Comerciales (Cliente) ................................ XX.XXX,XX BS</w:t>
            </w:r>
            <w:r w:rsidRPr="002E00A3">
              <w:rPr>
                <w:rFonts w:ascii="Consolas" w:hAnsi="Consolas"/>
                <w:sz w:val="19"/>
                <w:lang w:val="es-419"/>
              </w:rPr>
              <w:br/>
              <w:t>P/R Registro de Nota de Crédito N° XXX por devolución de mercancías según Factura N° YYY.</w:t>
            </w:r>
            <w:r w:rsidRPr="002E00A3">
              <w:rPr>
                <w:rFonts w:ascii="Consolas" w:hAnsi="Consolas"/>
                <w:sz w:val="19"/>
                <w:lang w:val="es-419"/>
              </w:rPr>
              <w:br/>
              <w:t>-------------------------------------------------------------</w:t>
            </w:r>
            <w:r w:rsidRPr="002E00A3">
              <w:rPr>
                <w:rFonts w:ascii="Consolas" w:hAnsi="Consolas"/>
                <w:sz w:val="19"/>
                <w:lang w:val="es-419"/>
              </w:rPr>
              <w:t>----------------------------</w:t>
            </w:r>
          </w:p>
        </w:tc>
      </w:tr>
    </w:tbl>
    <w:p w:rsidR="00BE4BEA" w:rsidRPr="002E00A3" w:rsidRDefault="00BE4BEA">
      <w:pPr>
        <w:spacing w:after="120"/>
        <w:rPr>
          <w:lang w:val="es-419"/>
        </w:rPr>
      </w:pP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Pr="002E00A3" w:rsidRDefault="002E00A3">
      <w:pPr>
        <w:pStyle w:val="Ttulo1"/>
        <w:spacing w:before="240" w:after="120"/>
        <w:rPr>
          <w:lang w:val="es-419"/>
        </w:rPr>
      </w:pPr>
      <w:r w:rsidRPr="002E00A3">
        <w:rPr>
          <w:color w:val="1A365D"/>
          <w:sz w:val="40"/>
          <w:lang w:val="es-419"/>
        </w:rPr>
        <w:t>CUADRO SÍNTESIS COMPARATIVO DE LA DOCUMENTACIÓN COMERCIAL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E4BEA">
        <w:trPr>
          <w:jc w:val="center"/>
        </w:trPr>
        <w:tc>
          <w:tcPr>
            <w:tcW w:w="156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b/>
                <w:color w:val="FFFFFF"/>
              </w:rPr>
              <w:t>Documento</w:t>
            </w:r>
            <w:proofErr w:type="spellEnd"/>
          </w:p>
        </w:tc>
        <w:tc>
          <w:tcPr>
            <w:tcW w:w="156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b/>
                <w:color w:val="FFFFFF"/>
              </w:rPr>
              <w:t>Carácter</w:t>
            </w:r>
          </w:p>
        </w:tc>
        <w:tc>
          <w:tcPr>
            <w:tcW w:w="156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b/>
                <w:color w:val="FFFFFF"/>
              </w:rPr>
              <w:t>Circulación (Endoso)</w:t>
            </w:r>
          </w:p>
        </w:tc>
        <w:tc>
          <w:tcPr>
            <w:tcW w:w="156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b/>
                <w:color w:val="FFFFFF"/>
              </w:rPr>
              <w:t>Ejecutoriedad Cambiaria</w:t>
            </w:r>
          </w:p>
        </w:tc>
        <w:tc>
          <w:tcPr>
            <w:tcW w:w="156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b/>
                <w:color w:val="FFFFFF"/>
                <w:lang w:val="es-419"/>
              </w:rPr>
              <w:t>Efecto Principal en el IVA</w:t>
            </w:r>
          </w:p>
        </w:tc>
        <w:tc>
          <w:tcPr>
            <w:tcW w:w="156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b/>
                <w:color w:val="FFFFFF"/>
              </w:rPr>
              <w:t>Referencia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Normativa</w:t>
            </w:r>
            <w:proofErr w:type="spellEnd"/>
            <w:r>
              <w:rPr>
                <w:b/>
                <w:color w:val="FFFFFF"/>
              </w:rPr>
              <w:t xml:space="preserve"> Fundamental</w:t>
            </w:r>
          </w:p>
        </w:tc>
      </w:tr>
      <w:tr w:rsidR="00BE4BEA">
        <w:trPr>
          <w:jc w:val="center"/>
        </w:trPr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lastRenderedPageBreak/>
              <w:t>Letra de Cambio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Negociable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 xml:space="preserve">Sí (Salvo "No </w:t>
            </w:r>
            <w:r w:rsidRPr="002E00A3">
              <w:rPr>
                <w:sz w:val="19"/>
                <w:lang w:val="es-419"/>
              </w:rPr>
              <w:t>a la orden")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Acción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Directa</w:t>
            </w:r>
            <w:proofErr w:type="spellEnd"/>
            <w:r>
              <w:rPr>
                <w:sz w:val="19"/>
              </w:rPr>
              <w:t xml:space="preserve"> / Regreso)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aplica directamente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Art. 410 Cód. Comercio / Vivante</w:t>
            </w:r>
          </w:p>
        </w:tc>
      </w:tr>
      <w:tr w:rsidR="00BE4BEA">
        <w:trPr>
          <w:jc w:val="center"/>
        </w:trPr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Pagaré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Negociable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Sí (Salvo "No a la orden")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Sí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Acción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Directa</w:t>
            </w:r>
            <w:proofErr w:type="spellEnd"/>
            <w:r>
              <w:rPr>
                <w:sz w:val="19"/>
              </w:rPr>
              <w:t xml:space="preserve"> / Aval)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aplica directamente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Art. 486 Cód. Comercio / Garrigues</w:t>
            </w:r>
          </w:p>
        </w:tc>
      </w:tr>
      <w:tr w:rsidR="00BE4BEA">
        <w:trPr>
          <w:jc w:val="center"/>
        </w:trPr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Libranza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Negociable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Limitada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Limitada / Contractual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aplica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Broseta Pont / Normativa Financiera</w:t>
            </w:r>
          </w:p>
        </w:tc>
      </w:tr>
      <w:tr w:rsidR="00BE4BEA" w:rsidRPr="002E00A3">
        <w:trPr>
          <w:jc w:val="center"/>
        </w:trPr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Transferencia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Instrumento de Pago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(Instrucción bancaria)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aplica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proofErr w:type="spellStart"/>
            <w:r w:rsidRPr="002E00A3">
              <w:rPr>
                <w:sz w:val="19"/>
                <w:lang w:val="es-419"/>
              </w:rPr>
              <w:t>Messineo</w:t>
            </w:r>
            <w:proofErr w:type="spellEnd"/>
            <w:r w:rsidRPr="002E00A3">
              <w:rPr>
                <w:sz w:val="19"/>
                <w:lang w:val="es-419"/>
              </w:rPr>
              <w:t xml:space="preserve"> / Ley de Bancos / SUDEBAN</w:t>
            </w:r>
          </w:p>
        </w:tc>
      </w:tr>
      <w:tr w:rsidR="00BE4BEA" w:rsidRPr="002E00A3">
        <w:trPr>
          <w:jc w:val="center"/>
        </w:trPr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Pedido</w:t>
            </w:r>
            <w:proofErr w:type="spellEnd"/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Negociable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Derecho de Contratos / Cód. Civil</w:t>
            </w:r>
          </w:p>
        </w:tc>
      </w:tr>
      <w:tr w:rsidR="00BE4BEA">
        <w:trPr>
          <w:jc w:val="center"/>
        </w:trPr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Albarán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Guía</w:t>
            </w:r>
            <w:proofErr w:type="spellEnd"/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Negociable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Respaldo del traslado físico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Transmisión del riesgo / Prov. 00071</w:t>
            </w:r>
          </w:p>
        </w:tc>
      </w:tr>
      <w:tr w:rsidR="00BE4BEA">
        <w:trPr>
          <w:jc w:val="center"/>
        </w:trPr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Recibo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Negociable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(Sirve de finiquito)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aplica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Art. 1.282 Código Civil</w:t>
            </w:r>
          </w:p>
        </w:tc>
      </w:tr>
      <w:tr w:rsidR="00BE4BEA">
        <w:trPr>
          <w:jc w:val="center"/>
        </w:trPr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Tique Fiscal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Negociable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Sin Crédito Fiscal (Salvo RIF)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proofErr w:type="spellStart"/>
            <w:r>
              <w:rPr>
                <w:sz w:val="19"/>
              </w:rPr>
              <w:t>Providencia</w:t>
            </w:r>
            <w:proofErr w:type="spellEnd"/>
            <w:r>
              <w:rPr>
                <w:sz w:val="19"/>
              </w:rPr>
              <w:t xml:space="preserve"> SENIAT 00071</w:t>
            </w:r>
          </w:p>
        </w:tc>
      </w:tr>
      <w:tr w:rsidR="00BE4BEA">
        <w:trPr>
          <w:jc w:val="center"/>
        </w:trPr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Factura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Negociable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(Salvo Factura Cambiaria)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Genera Débito / Crédito Fiscal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Prov. 00071 / Art. 32 Cód. Comercio</w:t>
            </w:r>
          </w:p>
        </w:tc>
      </w:tr>
      <w:tr w:rsidR="00BE4BEA">
        <w:trPr>
          <w:jc w:val="center"/>
        </w:trPr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Comprobante de Pago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Documento Interno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Soporte del egreso contable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Normas COSO / Control Interno</w:t>
            </w:r>
          </w:p>
        </w:tc>
      </w:tr>
      <w:tr w:rsidR="00BE4BEA" w:rsidRPr="002E00A3">
        <w:trPr>
          <w:jc w:val="center"/>
        </w:trPr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 xml:space="preserve">Nota </w:t>
            </w:r>
            <w:r>
              <w:rPr>
                <w:sz w:val="19"/>
              </w:rPr>
              <w:t>de Débito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Negociable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Incrementa Débito/Crédito Fiscal</w:t>
            </w:r>
          </w:p>
        </w:tc>
        <w:tc>
          <w:tcPr>
            <w:tcW w:w="15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Art. 61 Ley de IVA / Prov. 00071</w:t>
            </w:r>
          </w:p>
        </w:tc>
      </w:tr>
      <w:tr w:rsidR="00BE4BEA" w:rsidRPr="002E00A3">
        <w:trPr>
          <w:jc w:val="center"/>
        </w:trPr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 xml:space="preserve">Nota de </w:t>
            </w:r>
            <w:proofErr w:type="spellStart"/>
            <w:r>
              <w:rPr>
                <w:sz w:val="19"/>
              </w:rPr>
              <w:t>Crédito</w:t>
            </w:r>
            <w:proofErr w:type="spellEnd"/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 Negociable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Default="002E00A3">
            <w:pPr>
              <w:spacing w:before="40" w:after="40"/>
            </w:pPr>
            <w:r>
              <w:rPr>
                <w:sz w:val="19"/>
              </w:rPr>
              <w:t>Reduce Débito/Crédito Fiscal</w:t>
            </w:r>
          </w:p>
        </w:tc>
        <w:tc>
          <w:tcPr>
            <w:tcW w:w="1560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E4BEA" w:rsidRPr="002E00A3" w:rsidRDefault="002E00A3">
            <w:pPr>
              <w:spacing w:before="40" w:after="40"/>
              <w:rPr>
                <w:lang w:val="es-419"/>
              </w:rPr>
            </w:pPr>
            <w:r w:rsidRPr="002E00A3">
              <w:rPr>
                <w:sz w:val="19"/>
                <w:lang w:val="es-419"/>
              </w:rPr>
              <w:t>Art. 61 Ley de IVA / Prov. 00071</w:t>
            </w:r>
          </w:p>
        </w:tc>
      </w:tr>
    </w:tbl>
    <w:p w:rsidR="00BE4BEA" w:rsidRPr="002E00A3" w:rsidRDefault="00BE4BEA">
      <w:pPr>
        <w:spacing w:after="120"/>
        <w:rPr>
          <w:lang w:val="es-419"/>
        </w:rPr>
      </w:pPr>
    </w:p>
    <w:p w:rsidR="00BE4BEA" w:rsidRPr="002E00A3" w:rsidRDefault="00BE4BEA">
      <w:pPr>
        <w:pBdr>
          <w:bottom w:val="single" w:sz="6" w:space="1" w:color="CBD5E0"/>
        </w:pBdr>
        <w:spacing w:before="120" w:after="120"/>
        <w:rPr>
          <w:lang w:val="es-419"/>
        </w:rPr>
      </w:pPr>
    </w:p>
    <w:p w:rsidR="00BE4BEA" w:rsidRDefault="002E00A3">
      <w:pPr>
        <w:pStyle w:val="Ttulo2"/>
        <w:spacing w:before="240" w:after="120"/>
      </w:pPr>
      <w:r>
        <w:rPr>
          <w:color w:val="2B6CB0"/>
          <w:sz w:val="30"/>
        </w:rPr>
        <w:lastRenderedPageBreak/>
        <w:t>BIBLIOGRAFÍA Y FUENTES DOCTRINALES</w:t>
      </w:r>
    </w:p>
    <w:p w:rsidR="00BE4BEA" w:rsidRDefault="002E00A3">
      <w:pPr>
        <w:pStyle w:val="Listaconnmeros"/>
        <w:spacing w:after="60"/>
      </w:pPr>
      <w:proofErr w:type="spellStart"/>
      <w:r w:rsidRPr="002E00A3">
        <w:rPr>
          <w:b/>
          <w:lang w:val="es-419"/>
        </w:rPr>
        <w:t>Ascarelli</w:t>
      </w:r>
      <w:proofErr w:type="spellEnd"/>
      <w:r w:rsidRPr="002E00A3">
        <w:rPr>
          <w:b/>
          <w:lang w:val="es-419"/>
        </w:rPr>
        <w:t xml:space="preserve">, </w:t>
      </w:r>
      <w:proofErr w:type="spellStart"/>
      <w:r w:rsidRPr="002E00A3">
        <w:rPr>
          <w:b/>
          <w:lang w:val="es-419"/>
        </w:rPr>
        <w:t>Tullio</w:t>
      </w:r>
      <w:proofErr w:type="spellEnd"/>
      <w:r w:rsidRPr="002E00A3">
        <w:rPr>
          <w:b/>
          <w:lang w:val="es-419"/>
        </w:rPr>
        <w:t>.</w:t>
      </w:r>
      <w:r w:rsidRPr="002E00A3">
        <w:rPr>
          <w:lang w:val="es-419"/>
        </w:rPr>
        <w:t xml:space="preserve"> *</w:t>
      </w:r>
      <w:proofErr w:type="spellStart"/>
      <w:r w:rsidRPr="002E00A3">
        <w:rPr>
          <w:lang w:val="es-419"/>
        </w:rPr>
        <w:t>Teoria</w:t>
      </w:r>
      <w:proofErr w:type="spellEnd"/>
      <w:r w:rsidRPr="002E00A3">
        <w:rPr>
          <w:lang w:val="es-419"/>
        </w:rPr>
        <w:t xml:space="preserve"> </w:t>
      </w:r>
      <w:proofErr w:type="spellStart"/>
      <w:r w:rsidRPr="002E00A3">
        <w:rPr>
          <w:lang w:val="es-419"/>
        </w:rPr>
        <w:t>Generale</w:t>
      </w:r>
      <w:proofErr w:type="spellEnd"/>
      <w:r w:rsidRPr="002E00A3">
        <w:rPr>
          <w:lang w:val="es-419"/>
        </w:rPr>
        <w:t xml:space="preserve"> </w:t>
      </w:r>
      <w:proofErr w:type="spellStart"/>
      <w:r w:rsidRPr="002E00A3">
        <w:rPr>
          <w:lang w:val="es-419"/>
        </w:rPr>
        <w:t>dei</w:t>
      </w:r>
      <w:proofErr w:type="spellEnd"/>
      <w:r w:rsidRPr="002E00A3">
        <w:rPr>
          <w:lang w:val="es-419"/>
        </w:rPr>
        <w:t xml:space="preserve"> </w:t>
      </w:r>
      <w:proofErr w:type="spellStart"/>
      <w:r w:rsidRPr="002E00A3">
        <w:rPr>
          <w:lang w:val="es-419"/>
        </w:rPr>
        <w:t>Titoli</w:t>
      </w:r>
      <w:proofErr w:type="spellEnd"/>
      <w:r w:rsidRPr="002E00A3">
        <w:rPr>
          <w:lang w:val="es-419"/>
        </w:rPr>
        <w:t xml:space="preserve"> di </w:t>
      </w:r>
      <w:proofErr w:type="spellStart"/>
      <w:r w:rsidRPr="002E00A3">
        <w:rPr>
          <w:lang w:val="es-419"/>
        </w:rPr>
        <w:t>Credito</w:t>
      </w:r>
      <w:proofErr w:type="spellEnd"/>
      <w:r w:rsidRPr="002E00A3">
        <w:rPr>
          <w:lang w:val="es-419"/>
        </w:rPr>
        <w:t xml:space="preserve">*. </w:t>
      </w:r>
      <w:proofErr w:type="spellStart"/>
      <w:r>
        <w:t>Giuffrè</w:t>
      </w:r>
      <w:proofErr w:type="spellEnd"/>
      <w:r>
        <w:t xml:space="preserve"> </w:t>
      </w:r>
      <w:proofErr w:type="spellStart"/>
      <w:r>
        <w:t>Editore</w:t>
      </w:r>
      <w:proofErr w:type="spellEnd"/>
      <w:r>
        <w:t>, Milano.</w:t>
      </w:r>
    </w:p>
    <w:p w:rsidR="00BE4BEA" w:rsidRDefault="002E00A3">
      <w:pPr>
        <w:pStyle w:val="Listaconnmeros"/>
        <w:spacing w:after="60"/>
      </w:pPr>
      <w:proofErr w:type="spellStart"/>
      <w:r w:rsidRPr="002E00A3">
        <w:rPr>
          <w:b/>
          <w:lang w:val="es-419"/>
        </w:rPr>
        <w:t>Broseta</w:t>
      </w:r>
      <w:proofErr w:type="spellEnd"/>
      <w:r w:rsidRPr="002E00A3">
        <w:rPr>
          <w:b/>
          <w:lang w:val="es-419"/>
        </w:rPr>
        <w:t xml:space="preserve"> Pont, Manuel.</w:t>
      </w:r>
      <w:r w:rsidRPr="002E00A3">
        <w:rPr>
          <w:lang w:val="es-419"/>
        </w:rPr>
        <w:t xml:space="preserve"> *Manual de Derecho Mercantil*. </w:t>
      </w:r>
      <w:r>
        <w:t xml:space="preserve">Editorial </w:t>
      </w:r>
      <w:proofErr w:type="spellStart"/>
      <w:r>
        <w:t>Tecnos</w:t>
      </w:r>
      <w:proofErr w:type="spellEnd"/>
      <w:r>
        <w:t>, Madrid.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proofErr w:type="spellStart"/>
      <w:r w:rsidRPr="002E00A3">
        <w:rPr>
          <w:b/>
          <w:lang w:val="es-419"/>
        </w:rPr>
        <w:t>Garrigues</w:t>
      </w:r>
      <w:proofErr w:type="spellEnd"/>
      <w:r w:rsidRPr="002E00A3">
        <w:rPr>
          <w:b/>
          <w:lang w:val="es-419"/>
        </w:rPr>
        <w:t>, Joaquín.</w:t>
      </w:r>
      <w:r w:rsidRPr="002E00A3">
        <w:rPr>
          <w:lang w:val="es-419"/>
        </w:rPr>
        <w:t xml:space="preserve"> *Curso de Derecho Mercantil*. Tomos I y II. Editorial Temis, Bogotá.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proofErr w:type="spellStart"/>
      <w:r w:rsidRPr="002E00A3">
        <w:rPr>
          <w:b/>
          <w:lang w:val="es-419"/>
        </w:rPr>
        <w:t>Messineo</w:t>
      </w:r>
      <w:proofErr w:type="spellEnd"/>
      <w:r w:rsidRPr="002E00A3">
        <w:rPr>
          <w:b/>
          <w:lang w:val="es-419"/>
        </w:rPr>
        <w:t>, Francesco.</w:t>
      </w:r>
      <w:r w:rsidRPr="002E00A3">
        <w:rPr>
          <w:lang w:val="es-419"/>
        </w:rPr>
        <w:t xml:space="preserve"> </w:t>
      </w:r>
      <w:r w:rsidRPr="002E00A3">
        <w:rPr>
          <w:lang w:val="es-419"/>
        </w:rPr>
        <w:t>*Manual de Derecho Civil y Comercial*. Ediciones Jurídicas Europa-América, Buenos Aires.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proofErr w:type="spellStart"/>
      <w:r w:rsidRPr="002E00A3">
        <w:rPr>
          <w:b/>
          <w:lang w:val="es-419"/>
        </w:rPr>
        <w:t>Vivante</w:t>
      </w:r>
      <w:proofErr w:type="spellEnd"/>
      <w:r w:rsidRPr="002E00A3">
        <w:rPr>
          <w:b/>
          <w:lang w:val="es-419"/>
        </w:rPr>
        <w:t>, Cesare.</w:t>
      </w:r>
      <w:r w:rsidRPr="002E00A3">
        <w:rPr>
          <w:lang w:val="es-419"/>
        </w:rPr>
        <w:t xml:space="preserve"> *</w:t>
      </w:r>
      <w:proofErr w:type="spellStart"/>
      <w:r w:rsidRPr="002E00A3">
        <w:rPr>
          <w:lang w:val="es-419"/>
        </w:rPr>
        <w:t>Trattato</w:t>
      </w:r>
      <w:proofErr w:type="spellEnd"/>
      <w:r w:rsidRPr="002E00A3">
        <w:rPr>
          <w:lang w:val="es-419"/>
        </w:rPr>
        <w:t xml:space="preserve"> di </w:t>
      </w:r>
      <w:proofErr w:type="spellStart"/>
      <w:r w:rsidRPr="002E00A3">
        <w:rPr>
          <w:lang w:val="es-419"/>
        </w:rPr>
        <w:t>Diritto</w:t>
      </w:r>
      <w:proofErr w:type="spellEnd"/>
      <w:r w:rsidRPr="002E00A3">
        <w:rPr>
          <w:lang w:val="es-419"/>
        </w:rPr>
        <w:t xml:space="preserve"> </w:t>
      </w:r>
      <w:proofErr w:type="spellStart"/>
      <w:r w:rsidRPr="002E00A3">
        <w:rPr>
          <w:lang w:val="es-419"/>
        </w:rPr>
        <w:t>Commerciale</w:t>
      </w:r>
      <w:proofErr w:type="spellEnd"/>
      <w:r w:rsidRPr="002E00A3">
        <w:rPr>
          <w:lang w:val="es-419"/>
        </w:rPr>
        <w:t xml:space="preserve">*. </w:t>
      </w:r>
      <w:proofErr w:type="spellStart"/>
      <w:r w:rsidRPr="002E00A3">
        <w:rPr>
          <w:lang w:val="es-419"/>
        </w:rPr>
        <w:t>Fratelli</w:t>
      </w:r>
      <w:proofErr w:type="spellEnd"/>
      <w:r w:rsidRPr="002E00A3">
        <w:rPr>
          <w:lang w:val="es-419"/>
        </w:rPr>
        <w:t xml:space="preserve"> </w:t>
      </w:r>
      <w:proofErr w:type="spellStart"/>
      <w:r w:rsidRPr="002E00A3">
        <w:rPr>
          <w:lang w:val="es-419"/>
        </w:rPr>
        <w:t>Bocca</w:t>
      </w:r>
      <w:proofErr w:type="spellEnd"/>
      <w:r w:rsidRPr="002E00A3">
        <w:rPr>
          <w:lang w:val="es-419"/>
        </w:rPr>
        <w:t xml:space="preserve"> </w:t>
      </w:r>
      <w:proofErr w:type="spellStart"/>
      <w:r w:rsidRPr="002E00A3">
        <w:rPr>
          <w:lang w:val="es-419"/>
        </w:rPr>
        <w:t>Editori</w:t>
      </w:r>
      <w:proofErr w:type="spellEnd"/>
      <w:r w:rsidRPr="002E00A3">
        <w:rPr>
          <w:lang w:val="es-419"/>
        </w:rPr>
        <w:t>, Torino.</w:t>
      </w:r>
    </w:p>
    <w:p w:rsidR="00BE4BEA" w:rsidRDefault="002E00A3">
      <w:pPr>
        <w:pStyle w:val="Listaconnmeros"/>
        <w:spacing w:after="60"/>
      </w:pPr>
      <w:r w:rsidRPr="002E00A3">
        <w:rPr>
          <w:b/>
          <w:lang w:val="es-419"/>
        </w:rPr>
        <w:t>República Bolivariana de Venezuela.</w:t>
      </w:r>
      <w:r w:rsidRPr="002E00A3">
        <w:rPr>
          <w:lang w:val="es-419"/>
        </w:rPr>
        <w:t xml:space="preserve"> *Código de Comercio*. </w:t>
      </w:r>
      <w:proofErr w:type="spellStart"/>
      <w:r>
        <w:t>Gaceta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N° 475 Ext</w:t>
      </w:r>
      <w:r>
        <w:t>raordinaria.</w:t>
      </w:r>
    </w:p>
    <w:p w:rsidR="00BE4BEA" w:rsidRDefault="002E00A3">
      <w:pPr>
        <w:pStyle w:val="Listaconnmeros"/>
        <w:spacing w:after="60"/>
      </w:pPr>
      <w:r w:rsidRPr="002E00A3">
        <w:rPr>
          <w:b/>
          <w:lang w:val="es-419"/>
        </w:rPr>
        <w:t>SENIAT.</w:t>
      </w:r>
      <w:r w:rsidRPr="002E00A3">
        <w:rPr>
          <w:lang w:val="es-419"/>
        </w:rPr>
        <w:t xml:space="preserve"> *Providencia Administrativa N° SNAT/2011/00071 (Normas Generales de Emisión de Facturas y Otros </w:t>
      </w:r>
      <w:proofErr w:type="gramStart"/>
      <w:r w:rsidRPr="002E00A3">
        <w:rPr>
          <w:lang w:val="es-419"/>
        </w:rPr>
        <w:t>Documentos)*</w:t>
      </w:r>
      <w:proofErr w:type="gramEnd"/>
      <w:r w:rsidRPr="002E00A3">
        <w:rPr>
          <w:lang w:val="es-419"/>
        </w:rPr>
        <w:t xml:space="preserve">. </w:t>
      </w:r>
      <w:proofErr w:type="spellStart"/>
      <w:r>
        <w:t>Gaceta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N° 39.795.</w:t>
      </w:r>
    </w:p>
    <w:p w:rsidR="00BE4BEA" w:rsidRPr="002E00A3" w:rsidRDefault="002E00A3">
      <w:pPr>
        <w:pStyle w:val="Listaconnmeros"/>
        <w:spacing w:after="60"/>
        <w:rPr>
          <w:lang w:val="es-419"/>
        </w:rPr>
      </w:pPr>
      <w:r w:rsidRPr="002E00A3">
        <w:rPr>
          <w:b/>
          <w:lang w:val="es-419"/>
        </w:rPr>
        <w:t>IASB.</w:t>
      </w:r>
      <w:r w:rsidRPr="002E00A3">
        <w:rPr>
          <w:lang w:val="es-419"/>
        </w:rPr>
        <w:t xml:space="preserve"> *Norma Internacional de Información Financiera para Pequeñas y Medianas Entidades (NIIF para las </w:t>
      </w:r>
      <w:proofErr w:type="gramStart"/>
      <w:r w:rsidRPr="002E00A3">
        <w:rPr>
          <w:lang w:val="es-419"/>
        </w:rPr>
        <w:t>PYMES)*</w:t>
      </w:r>
      <w:proofErr w:type="gramEnd"/>
      <w:r w:rsidRPr="002E00A3">
        <w:rPr>
          <w:lang w:val="es-419"/>
        </w:rPr>
        <w:t>.</w:t>
      </w:r>
    </w:p>
    <w:sectPr w:rsidR="00BE4BEA" w:rsidRPr="002E00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00A3"/>
    <w:rsid w:val="00326F90"/>
    <w:rsid w:val="00AA1D8D"/>
    <w:rsid w:val="00B47730"/>
    <w:rsid w:val="00BE4B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80633B"/>
  <w14:defaultImageDpi w14:val="300"/>
  <w15:docId w15:val="{F7AD5C0E-A423-46DC-818D-0D124F42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BAE086-E3C4-492B-BCBB-CB2C0B52A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4179</Words>
  <Characters>22988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CLEMENTE</cp:lastModifiedBy>
  <cp:revision>2</cp:revision>
  <dcterms:created xsi:type="dcterms:W3CDTF">2013-12-23T23:15:00Z</dcterms:created>
  <dcterms:modified xsi:type="dcterms:W3CDTF">2026-08-08T15:21:00Z</dcterms:modified>
  <cp:category/>
</cp:coreProperties>
</file>