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Esta es la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Guía Didáctica Docente y de Contenido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detallada para que puedas preparar y dictar la clase teórica previa al taller en equipo. Está estructurada para cubrir exactamente los puntos clave del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Módulo 1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la Universidad Pontificia Católica Santa Rosa (UCSAR), utilizando referencias bibliográficas e institucionales reales, reconocidas y completamente comprobables en el ámbito legal y contable venezolano. 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+3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5" style="width:0;height:1.5pt" o:hralign="center" o:hrstd="t" o:hr="t" fillcolor="#a0a0a0" stroked="f"/>
        </w:pic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GUÍA DIDÁCTICA DE CONTENIDO: MÓDULO 1</w: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PARTE 1: CONTENIDO TEÓRICO COMPLETO (Lo que debes explicar)</w: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1. Concepto y Objetivos de la Contabilidad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contabilidad no es un simple registro de números; es el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sistema de información integrado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la empresa. Su objetivo principal es identificar, medir, clasificar y registrar las operaciones económicas de una entidad para emitir Estados Financieros que sirvan para la toma de decisiones de los usuarios. 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+4</w:t>
      </w:r>
    </w:p>
    <w:p w:rsidR="00284537" w:rsidRPr="00284537" w:rsidRDefault="00284537" w:rsidP="00284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Usuarios Externos (Contabilidad Financiera):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Inversionistas, bancos (como el Banco de Venezuela o Banesco), el SENIAT y proveedores. Necesitan información estandarizada para evaluar el riesgo crediticio y el cumplimiento legal. </w:t>
      </w:r>
    </w:p>
    <w:p w:rsidR="00284537" w:rsidRPr="00284537" w:rsidRDefault="00284537" w:rsidP="0028453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+1</w:t>
      </w:r>
    </w:p>
    <w:p w:rsidR="00284537" w:rsidRPr="00284537" w:rsidRDefault="00284537" w:rsidP="00284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Usuarios Internos (Contabilidad Administrativa):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Directores, gerentes y jefes de departamento. Necesitan información interna y oportuna para planificar el presupuesto, controlar costos y proyectar esc</w:t>
      </w:r>
      <w:bookmarkStart w:id="0" w:name="_GoBack"/>
      <w:bookmarkEnd w:id="0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enarios futuros. </w:t>
      </w:r>
    </w:p>
    <w:p w:rsidR="00284537" w:rsidRPr="00284537" w:rsidRDefault="00284537" w:rsidP="0028453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+2</w: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 Marco de Regulación Contable en Venezuela (Base Legal y Técnica)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Para que los participantes resuelvan los ejercicios con propiedad, debes explicarles que en Venezuela la contabilidad está rígidamente regulada por dos frentes: </w:t>
      </w:r>
    </w:p>
    <w:p w:rsidR="00284537" w:rsidRPr="00284537" w:rsidRDefault="00284537" w:rsidP="00284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Regulación Técnica (Federación de Colegios de Contadores Públicos de Venezuela - FCCPV):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Venezuela no se aplican las NIIF puras de manera directa, sino las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VEN-NIIF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(Normas de Información Financiera de Venezuela), las cuales adoptan los estándares </w:t>
      </w:r>
      <w:proofErr w:type="gramStart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internacionales</w:t>
      </w:r>
      <w:proofErr w:type="gramEnd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pero pasan por un proceso de auscultación y aprobación por la FCCPV. Para las pequeñas y medianas empresas (como las de los ejercicios), se aplica específicamente el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 VEN-NIIF N° 8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(Adopción de las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VEN-NIIF PYME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284537" w:rsidRPr="00284537" w:rsidRDefault="00284537" w:rsidP="00284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Regulación Legal (Marco Mercantil y Fiscal):</w:t>
      </w:r>
    </w:p>
    <w:p w:rsidR="00284537" w:rsidRPr="00284537" w:rsidRDefault="00284537" w:rsidP="00284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Código de Comercio de Venezuela (Artículos 32 al 44):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Establece la obligación de todo comerciante de llevar la contabilidad en idioma castellano y la obligatoriedad de los libros principales (Diario, Mayor e Inventario). </w:t>
      </w:r>
    </w:p>
    <w:p w:rsidR="00284537" w:rsidRPr="00284537" w:rsidRDefault="00284537" w:rsidP="0028453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+1</w:t>
      </w:r>
    </w:p>
    <w:p w:rsidR="00284537" w:rsidRPr="00284537" w:rsidRDefault="00284537" w:rsidP="00284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Decreto Constituyente del Código Orgánico Tributario (COT):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Regula los deberes formales ante la administración tributaria (SENIAT).</w:t>
      </w:r>
    </w:p>
    <w:p w:rsidR="00284537" w:rsidRPr="00284537" w:rsidRDefault="00284537" w:rsidP="0028453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noProof/>
          <w:sz w:val="24"/>
          <w:szCs w:val="24"/>
          <w:lang w:eastAsia="es-419"/>
        </w:rPr>
        <w:lastRenderedPageBreak/>
        <w:drawing>
          <wp:inline distT="0" distB="0" distL="0" distR="0">
            <wp:extent cx="19507200" cy="9319260"/>
            <wp:effectExtent l="0" t="0" r="0" b="0"/>
            <wp:docPr id="1" name="Imagen 1" descr="financial accounting framework, generada po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nancial accounting framework, generada por 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931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537" w:rsidRPr="00284537" w:rsidRDefault="00284537" w:rsidP="0028453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Getty</w:t>
      </w:r>
      <w:proofErr w:type="spellEnd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Images</w:t>
      </w:r>
      <w:proofErr w:type="spellEnd"/>
    </w:p>
    <w:p w:rsidR="00284537" w:rsidRPr="00284537" w:rsidRDefault="00284537" w:rsidP="0028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 El Patrimonio Empresarial y sus Rubros Financieros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Según el Marco Conceptual de las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VEN-NIIF PYME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los elementos que componen la estructura financiera de una entidad son los siguientes: </w:t>
      </w:r>
    </w:p>
    <w:p w:rsidR="00284537" w:rsidRPr="00284537" w:rsidRDefault="00284537" w:rsidP="00284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Activo: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un recurso económico presente, controlado por la entidad como resultado de sucesos pasados, del cual se espera obtener beneficios económicos futuros (Ejemplos del taller: Dinero en caja/bancos, inventarios de mercancía, vehículos de reparto). </w:t>
      </w:r>
    </w:p>
    <w:p w:rsidR="00284537" w:rsidRPr="00284537" w:rsidRDefault="00284537" w:rsidP="00284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Pasivo: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una obligación presente de la entidad, surgida a raíz de sucesos pasados, al vencimiento de la cual, y para cancelarla, la entidad espera desprenderse de recursos que incorporan beneficios económicos (Ejemplos del taller: Cuentas por pagar a proveedores, préstamos bancarios). </w:t>
      </w:r>
    </w:p>
    <w:p w:rsidR="00284537" w:rsidRPr="00284537" w:rsidRDefault="00284537" w:rsidP="00284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Patrimonio Neto: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la parte residual de los activos de la entidad, una vez deducidos todos sus pasivos (Patrimonio=Activo−Pasivo). Representa el capital aportado por los socios más los resultados acumulados (utilidades o pérdidas). </w:t>
      </w:r>
    </w:p>
    <w:p w:rsidR="00284537" w:rsidRPr="00284537" w:rsidRDefault="00284537" w:rsidP="0028453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+1</w:t>
      </w:r>
    </w:p>
    <w:p w:rsidR="00284537" w:rsidRPr="00284537" w:rsidRDefault="00284537" w:rsidP="00284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Ingresos: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Son los incrementos en los beneficios económicos producidos a lo largo del período contable, en forma de entradas o incrementos de valor de los activos (Ejemplo: Ventas de mercancía). </w:t>
      </w:r>
    </w:p>
    <w:p w:rsidR="00284537" w:rsidRPr="00284537" w:rsidRDefault="00284537" w:rsidP="00284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Costos y Gastos: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Son las disminuciones en los beneficios económicos en forma de salidas o disminuciones del valor de los activos (Ejemplos: El costo de la mercancía vendida es un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costo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los sueldos del personal o servicios públicos son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gastos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operativos). 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7" style="width:0;height:1.5pt" o:hralign="center" o:hrstd="t" o:hr="t" fillcolor="#a0a0a0" stroked="f"/>
        </w:pic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PARTE 2: GUÍA DE EJECUCIÓN PASO A PASO PARA LOS ESTUDIANTES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Para que los equipos puedan resolver el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"Caso: Suministros Industriales del Caribe, C.A."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éxito en las 2 horas de clase, explícales la siguiente metodología de resolución:</w: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Paso 1: El Filtro Conceptual (Unidad 1)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Antes de tocar cualquier número, el equipo debe debatir sobre la naturaleza del dato. Si el enunciado menciona un crédito bancario de Bs. 30.000, indícales que la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Contabilidad Financiera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exige presentarlo de manera uniforme en el Balance de Situación para que el banco evalúe si la empresa es solvente. En cambio, la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Contabilidad Administrativa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tomará esa misma cifra para evaluar internamente si el flujo de caja del mes permite pagar las cuotas sin asfixiar la operatividad del negocio. 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+4</w: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Paso 2: La Matriz de Clasificación (Unidad 2)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Pídeles que tracen una matriz limpia. Cada cuenta tiene una sola "identidad" contable bajo VEN-NIIF. No se pueden mezclar las cuentas del Balance (Activo, Pasivo, Patrimonio) con las cuentas de Resultado (Ingresos, Costos, Gastos). 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+1</w: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lastRenderedPageBreak/>
        <w:t>Paso 3: El Cálculo del Resultado antes de cerrar el Balance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Un error común en los estudiantes principiantes es intentar cuadrar el balance usando solo el capital inicial. Debes recalcarles que </w:t>
      </w: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 gestión operativa modifica el patrimonio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Primero deben aislar los Ingresos, Costos y Gastos para calcular la Utilidad Operativa del mes: 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Utilidad=Ingresos−(</w:t>
      </w:r>
      <w:proofErr w:type="spellStart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Costos+Gastos</w:t>
      </w:r>
      <w:proofErr w:type="spellEnd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Esa utilidad resultante se sumará directamente en la sección de Patrimonio Neto para poder aplicar con éxito la ecuación:</w:t>
      </w:r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Activo=</w:t>
      </w:r>
      <w:proofErr w:type="spellStart"/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Pasivo+Patrimonio</w:t>
      </w:r>
      <w:proofErr w:type="spellEnd"/>
    </w:p>
    <w:p w:rsidR="00284537" w:rsidRPr="00284537" w:rsidRDefault="00284537" w:rsidP="0028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8" style="width:0;height:1.5pt" o:hralign="center" o:hrstd="t" o:hr="t" fillcolor="#a0a0a0" stroked="f"/>
        </w:pict>
      </w:r>
    </w:p>
    <w:p w:rsidR="00284537" w:rsidRPr="00284537" w:rsidRDefault="00284537" w:rsidP="00284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PARTE 3: FUENTES BIBLIOGRÁFICAS RECONOCIDAS Y COMPROBABLES</w:t>
      </w:r>
    </w:p>
    <w:p w:rsidR="00284537" w:rsidRPr="00284537" w:rsidRDefault="00284537" w:rsidP="0028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Para dar validez académica y legal al taller, puedes proveer o citar las siguientes fuentes oficiales a los participantes: </w:t>
      </w:r>
    </w:p>
    <w:p w:rsidR="00284537" w:rsidRPr="00284537" w:rsidRDefault="00284537" w:rsidP="00284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Técnicas (Normativa Contable Venezolana):</w:t>
      </w:r>
    </w:p>
    <w:p w:rsidR="00284537" w:rsidRPr="00284537" w:rsidRDefault="00284537" w:rsidP="00284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Federación de Colegios de Contadores Públicos de Venezuela (FCCPV).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Boletín de Aplicación de las VEN-NIIF N° 8 (BA VEN-NIIF 8) - Adopción de la Norma Internacional de Información Financiera para Pequeñas y Medianas Empresas (NIIF para las PYMES)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. Disponible de forma oficial en el repositorio web de la FCCPV (fccpv.org).</w:t>
      </w:r>
    </w:p>
    <w:p w:rsidR="00284537" w:rsidRPr="00284537" w:rsidRDefault="00284537" w:rsidP="00284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Fundación IFRS (International </w:t>
      </w:r>
      <w:proofErr w:type="spellStart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Financial</w:t>
      </w:r>
      <w:proofErr w:type="spellEnd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Reporting</w:t>
      </w:r>
      <w:proofErr w:type="spellEnd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Standards</w:t>
      </w:r>
      <w:proofErr w:type="spellEnd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).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Marco Conceptual para la Información Financiera y Sección 2 (Conceptos y Principios Generales) de la NIIF para las PYMES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. (Organismo mundial emisor de las normas contables).</w:t>
      </w:r>
    </w:p>
    <w:p w:rsidR="00284537" w:rsidRPr="00284537" w:rsidRDefault="00284537" w:rsidP="00284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Legales (Leyes de la República Bolivariana de Venezuela):</w:t>
      </w:r>
    </w:p>
    <w:p w:rsidR="00284537" w:rsidRPr="00284537" w:rsidRDefault="00284537" w:rsidP="00284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Congreso de la República de Venezuela.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Código de Comercio Venezolano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. Gaceta Oficial Extraordinaria N° 475 del 21 de diciembre de 1955 (Artículos 32 al 44 sobre la contabilidad mercantil).</w:t>
      </w:r>
    </w:p>
    <w:p w:rsidR="00284537" w:rsidRPr="00284537" w:rsidRDefault="00284537" w:rsidP="00284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Asamblea Nacional Constituyente.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Decreto Constituyente mediante el cual se dicta el Código Orgánico Tributario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. Gaceta Oficial del 29 de enero de 2020.</w:t>
      </w:r>
    </w:p>
    <w:p w:rsidR="00284537" w:rsidRPr="00284537" w:rsidRDefault="00284537" w:rsidP="00284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Doctrinales (Textos Universitarios de Referencia en Venezuela):</w:t>
      </w:r>
    </w:p>
    <w:p w:rsidR="00284537" w:rsidRPr="00284537" w:rsidRDefault="00284537" w:rsidP="00284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Catacora</w:t>
      </w:r>
      <w:proofErr w:type="spellEnd"/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, Fernando.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Contabilidad Base para la Toma de Decisiones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. Caracas: Redes Editorial. (Es el texto clásico de referencia en las escuelas de Contaduría Pública del país para comprender la estructura del patrimonio y los sistemas de información financieros).</w:t>
      </w:r>
    </w:p>
    <w:p w:rsidR="00284537" w:rsidRPr="00284537" w:rsidRDefault="00284537" w:rsidP="00284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84537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Guajardo, Gerardo y Andrade, Nora.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84537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Contabilidad Financiera</w:t>
      </w:r>
      <w:r w:rsidRPr="00284537">
        <w:rPr>
          <w:rFonts w:ascii="Times New Roman" w:eastAsia="Times New Roman" w:hAnsi="Times New Roman" w:cs="Times New Roman"/>
          <w:sz w:val="24"/>
          <w:szCs w:val="24"/>
          <w:lang w:eastAsia="es-419"/>
        </w:rPr>
        <w:t>. México: McGraw-Hill. (Ampliamente utilizado en universidades latinoamericanas para explicar de forma analítica e introductoria la ecuación patrimonial).</w:t>
      </w:r>
    </w:p>
    <w:p w:rsidR="00093067" w:rsidRDefault="00093067"/>
    <w:sectPr w:rsidR="00093067" w:rsidSect="00291CF4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E5528"/>
    <w:multiLevelType w:val="multilevel"/>
    <w:tmpl w:val="390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618CE"/>
    <w:multiLevelType w:val="multilevel"/>
    <w:tmpl w:val="78E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17B8D"/>
    <w:multiLevelType w:val="multilevel"/>
    <w:tmpl w:val="563C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65B12"/>
    <w:multiLevelType w:val="multilevel"/>
    <w:tmpl w:val="378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537"/>
    <w:rsid w:val="00093067"/>
    <w:rsid w:val="00284537"/>
    <w:rsid w:val="0029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2BE1EA-01AF-4A3A-AD20-A31A2951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45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284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284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537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284537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284537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284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citation-43">
    <w:name w:val="citation-43"/>
    <w:basedOn w:val="Fuentedeprrafopredeter"/>
    <w:rsid w:val="00284537"/>
  </w:style>
  <w:style w:type="character" w:customStyle="1" w:styleId="citation-42">
    <w:name w:val="citation-42"/>
    <w:basedOn w:val="Fuentedeprrafopredeter"/>
    <w:rsid w:val="00284537"/>
  </w:style>
  <w:style w:type="character" w:customStyle="1" w:styleId="button-label">
    <w:name w:val="button-label"/>
    <w:basedOn w:val="Fuentedeprrafopredeter"/>
    <w:rsid w:val="00284537"/>
  </w:style>
  <w:style w:type="character" w:customStyle="1" w:styleId="citation-41">
    <w:name w:val="citation-41"/>
    <w:basedOn w:val="Fuentedeprrafopredeter"/>
    <w:rsid w:val="00284537"/>
  </w:style>
  <w:style w:type="character" w:customStyle="1" w:styleId="citation-40">
    <w:name w:val="citation-40"/>
    <w:basedOn w:val="Fuentedeprrafopredeter"/>
    <w:rsid w:val="00284537"/>
  </w:style>
  <w:style w:type="character" w:customStyle="1" w:styleId="citation-39">
    <w:name w:val="citation-39"/>
    <w:basedOn w:val="Fuentedeprrafopredeter"/>
    <w:rsid w:val="00284537"/>
  </w:style>
  <w:style w:type="character" w:customStyle="1" w:styleId="citation-38">
    <w:name w:val="citation-38"/>
    <w:basedOn w:val="Fuentedeprrafopredeter"/>
    <w:rsid w:val="00284537"/>
  </w:style>
  <w:style w:type="character" w:customStyle="1" w:styleId="citation-37">
    <w:name w:val="citation-37"/>
    <w:basedOn w:val="Fuentedeprrafopredeter"/>
    <w:rsid w:val="00284537"/>
  </w:style>
  <w:style w:type="character" w:customStyle="1" w:styleId="citation-36">
    <w:name w:val="citation-36"/>
    <w:basedOn w:val="Fuentedeprrafopredeter"/>
    <w:rsid w:val="00284537"/>
  </w:style>
  <w:style w:type="character" w:customStyle="1" w:styleId="citation-35">
    <w:name w:val="citation-35"/>
    <w:basedOn w:val="Fuentedeprrafopredeter"/>
    <w:rsid w:val="00284537"/>
  </w:style>
  <w:style w:type="character" w:customStyle="1" w:styleId="label">
    <w:name w:val="label"/>
    <w:basedOn w:val="Fuentedeprrafopredeter"/>
    <w:rsid w:val="00284537"/>
  </w:style>
  <w:style w:type="character" w:customStyle="1" w:styleId="citation-34">
    <w:name w:val="citation-34"/>
    <w:basedOn w:val="Fuentedeprrafopredeter"/>
    <w:rsid w:val="00284537"/>
  </w:style>
  <w:style w:type="character" w:customStyle="1" w:styleId="citation-33">
    <w:name w:val="citation-33"/>
    <w:basedOn w:val="Fuentedeprrafopredeter"/>
    <w:rsid w:val="00284537"/>
  </w:style>
  <w:style w:type="character" w:customStyle="1" w:styleId="citation-32">
    <w:name w:val="citation-32"/>
    <w:basedOn w:val="Fuentedeprrafopredeter"/>
    <w:rsid w:val="00284537"/>
  </w:style>
  <w:style w:type="character" w:customStyle="1" w:styleId="citation-31">
    <w:name w:val="citation-31"/>
    <w:basedOn w:val="Fuentedeprrafopredeter"/>
    <w:rsid w:val="00284537"/>
  </w:style>
  <w:style w:type="character" w:customStyle="1" w:styleId="mord">
    <w:name w:val="mord"/>
    <w:basedOn w:val="Fuentedeprrafopredeter"/>
    <w:rsid w:val="00284537"/>
  </w:style>
  <w:style w:type="character" w:customStyle="1" w:styleId="mrel">
    <w:name w:val="mrel"/>
    <w:basedOn w:val="Fuentedeprrafopredeter"/>
    <w:rsid w:val="00284537"/>
  </w:style>
  <w:style w:type="character" w:customStyle="1" w:styleId="mbin">
    <w:name w:val="mbin"/>
    <w:basedOn w:val="Fuentedeprrafopredeter"/>
    <w:rsid w:val="00284537"/>
  </w:style>
  <w:style w:type="character" w:customStyle="1" w:styleId="citation-30">
    <w:name w:val="citation-30"/>
    <w:basedOn w:val="Fuentedeprrafopredeter"/>
    <w:rsid w:val="00284537"/>
  </w:style>
  <w:style w:type="character" w:customStyle="1" w:styleId="citation-29">
    <w:name w:val="citation-29"/>
    <w:basedOn w:val="Fuentedeprrafopredeter"/>
    <w:rsid w:val="00284537"/>
  </w:style>
  <w:style w:type="character" w:customStyle="1" w:styleId="citation-28">
    <w:name w:val="citation-28"/>
    <w:basedOn w:val="Fuentedeprrafopredeter"/>
    <w:rsid w:val="00284537"/>
  </w:style>
  <w:style w:type="character" w:customStyle="1" w:styleId="citation-27">
    <w:name w:val="citation-27"/>
    <w:basedOn w:val="Fuentedeprrafopredeter"/>
    <w:rsid w:val="00284537"/>
  </w:style>
  <w:style w:type="character" w:customStyle="1" w:styleId="citation-26">
    <w:name w:val="citation-26"/>
    <w:basedOn w:val="Fuentedeprrafopredeter"/>
    <w:rsid w:val="00284537"/>
  </w:style>
  <w:style w:type="character" w:customStyle="1" w:styleId="citation-25">
    <w:name w:val="citation-25"/>
    <w:basedOn w:val="Fuentedeprrafopredeter"/>
    <w:rsid w:val="00284537"/>
  </w:style>
  <w:style w:type="character" w:customStyle="1" w:styleId="citation-24">
    <w:name w:val="citation-24"/>
    <w:basedOn w:val="Fuentedeprrafopredeter"/>
    <w:rsid w:val="00284537"/>
  </w:style>
  <w:style w:type="character" w:customStyle="1" w:styleId="citation-23">
    <w:name w:val="citation-23"/>
    <w:basedOn w:val="Fuentedeprrafopredeter"/>
    <w:rsid w:val="00284537"/>
  </w:style>
  <w:style w:type="character" w:customStyle="1" w:styleId="mopen">
    <w:name w:val="mopen"/>
    <w:basedOn w:val="Fuentedeprrafopredeter"/>
    <w:rsid w:val="00284537"/>
  </w:style>
  <w:style w:type="character" w:customStyle="1" w:styleId="mclose">
    <w:name w:val="mclose"/>
    <w:basedOn w:val="Fuentedeprrafopredeter"/>
    <w:rsid w:val="00284537"/>
  </w:style>
  <w:style w:type="character" w:customStyle="1" w:styleId="citation-22">
    <w:name w:val="citation-22"/>
    <w:basedOn w:val="Fuentedeprrafopredeter"/>
    <w:rsid w:val="00284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4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1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3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8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72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4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6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2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1103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CLEMENTE</dc:creator>
  <cp:keywords/>
  <dc:description/>
  <cp:lastModifiedBy>FRANK CLEMENTE</cp:lastModifiedBy>
  <cp:revision>1</cp:revision>
  <dcterms:created xsi:type="dcterms:W3CDTF">2026-05-16T04:56:00Z</dcterms:created>
  <dcterms:modified xsi:type="dcterms:W3CDTF">2026-05-16T04:57:00Z</dcterms:modified>
</cp:coreProperties>
</file>