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137C8B"/>
          <w:sz w:val="20"/>
        </w:rPr>
        <w:t>DEFINITIVE MASTER PRODUCT</w:t>
      </w:r>
    </w:p>
    <w:p>
      <w:pPr>
        <w:spacing w:after="80"/>
      </w:pPr>
      <w:r>
        <w:rPr>
          <w:rFonts w:ascii="Calibri" w:hAnsi="Calibri"/>
          <w:b/>
          <w:i w:val="0"/>
          <w:color w:val="0B2545"/>
          <w:sz w:val="60"/>
        </w:rPr>
        <w:t>TelesalesOS</w:t>
      </w:r>
    </w:p>
    <w:p>
      <w:pPr>
        <w:spacing w:after="360"/>
      </w:pPr>
      <w:r>
        <w:rPr>
          <w:rFonts w:ascii="Calibri" w:hAnsi="Calibri"/>
          <w:b w:val="0"/>
          <w:i w:val="0"/>
          <w:color w:val="1F4D78"/>
          <w:sz w:val="30"/>
        </w:rPr>
        <w:t>Full-Stack Developer Product Brief &amp; Contact Center Build Specification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i w:val="0"/>
                <w:color w:val="0B2545"/>
                <w:sz w:val="19"/>
              </w:rPr>
              <w:t>Document field</w:t>
            </w:r>
          </w:p>
        </w:tc>
        <w:tc>
          <w:tcPr>
            <w:tcW w:type="dxa" w:w="7560"/>
            <w:shd w:fill="E8EEF5"/>
            <w:tcMar>
              <w:top w:w="80" w:type="dxa"/>
              <w:start w:w="120" w:type="dxa"/>
              <w:bottom w:w="80" w:type="dxa"/>
              <w:end w:w="120" w:type="dxa"/>
            </w:tcMar>
            <w:vAlign w:val="center"/>
          </w:tcPr>
          <w:p>
            <w:pPr>
              <w:spacing w:after="0"/>
            </w:pPr>
            <w:r>
              <w:rPr>
                <w:rFonts w:ascii="Calibri" w:hAnsi="Calibri"/>
                <w:b/>
                <w:i w:val="0"/>
                <w:color w:val="0B2545"/>
                <w:sz w:val="19"/>
              </w:rPr>
              <w:t>Details</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172033"/>
                <w:sz w:val="19"/>
              </w:rPr>
              <w:t>Audience</w:t>
            </w:r>
          </w:p>
        </w:tc>
        <w:tc>
          <w:tcPr>
            <w:tcW w:type="dxa" w:w="7560"/>
            <w:tcMar>
              <w:top w:w="80" w:type="dxa"/>
              <w:start w:w="120" w:type="dxa"/>
              <w:bottom w:w="80" w:type="dxa"/>
              <w:end w:w="120" w:type="dxa"/>
            </w:tcMar>
            <w:vAlign w:val="center"/>
          </w:tcPr>
          <w:p>
            <w:pPr>
              <w:spacing w:after="0"/>
            </w:pPr>
            <w:r>
              <w:rPr>
                <w:rFonts w:ascii="Calibri" w:hAnsi="Calibri"/>
                <w:b w:val="0"/>
                <w:i w:val="0"/>
                <w:color w:val="172033"/>
                <w:sz w:val="19"/>
              </w:rPr>
              <w:t>Full-stack developer, technical lead, and telephony specialist</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172033"/>
                <w:sz w:val="19"/>
              </w:rPr>
              <w:t>Purpose</w:t>
            </w:r>
          </w:p>
        </w:tc>
        <w:tc>
          <w:tcPr>
            <w:tcW w:type="dxa" w:w="7560"/>
            <w:tcMar>
              <w:top w:w="80" w:type="dxa"/>
              <w:start w:w="120" w:type="dxa"/>
              <w:bottom w:w="80" w:type="dxa"/>
              <w:end w:w="120" w:type="dxa"/>
            </w:tcMar>
            <w:vAlign w:val="center"/>
          </w:tcPr>
          <w:p>
            <w:pPr>
              <w:spacing w:after="0"/>
            </w:pPr>
            <w:r>
              <w:rPr>
                <w:rFonts w:ascii="Calibri" w:hAnsi="Calibri"/>
                <w:b w:val="0"/>
                <w:i w:val="0"/>
                <w:color w:val="172033"/>
                <w:sz w:val="19"/>
              </w:rPr>
              <w:t>Explain the platform, define the technical direction, and identify the work we need help delivering</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172033"/>
                <w:sz w:val="19"/>
              </w:rPr>
              <w:t>Current phase</w:t>
            </w:r>
          </w:p>
        </w:tc>
        <w:tc>
          <w:tcPr>
            <w:tcW w:type="dxa" w:w="7560"/>
            <w:tcMar>
              <w:top w:w="80" w:type="dxa"/>
              <w:start w:w="120" w:type="dxa"/>
              <w:bottom w:w="80" w:type="dxa"/>
              <w:end w:w="120" w:type="dxa"/>
            </w:tcMar>
            <w:vAlign w:val="center"/>
          </w:tcPr>
          <w:p>
            <w:pPr>
              <w:spacing w:after="0"/>
            </w:pPr>
            <w:r>
              <w:rPr>
                <w:rFonts w:ascii="Calibri" w:hAnsi="Calibri"/>
                <w:b w:val="0"/>
                <w:i w:val="0"/>
                <w:color w:val="172033"/>
                <w:sz w:val="19"/>
              </w:rPr>
              <w:t>Foundation / pre-production build</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172033"/>
                <w:sz w:val="19"/>
              </w:rPr>
              <w:t>Core stack</w:t>
            </w:r>
          </w:p>
        </w:tc>
        <w:tc>
          <w:tcPr>
            <w:tcW w:type="dxa" w:w="7560"/>
            <w:tcMar>
              <w:top w:w="80" w:type="dxa"/>
              <w:start w:w="120" w:type="dxa"/>
              <w:bottom w:w="80" w:type="dxa"/>
              <w:end w:w="120" w:type="dxa"/>
            </w:tcMar>
            <w:vAlign w:val="center"/>
          </w:tcPr>
          <w:p>
            <w:pPr>
              <w:spacing w:after="0"/>
            </w:pPr>
            <w:r>
              <w:rPr>
                <w:rFonts w:ascii="Calibri" w:hAnsi="Calibri"/>
                <w:b w:val="0"/>
                <w:i w:val="0"/>
                <w:color w:val="172033"/>
                <w:sz w:val="19"/>
              </w:rPr>
              <w:t>Next.js, TypeScript, Vercel, Supabase/Postgres, GitHub, Telnyx, Redis, AWS S3, Stripe, OpenAI</w:t>
            </w:r>
          </w:p>
        </w:tc>
      </w:tr>
      <w:tr>
        <w:trPr>
          <w:cantSplit/>
        </w:trPr>
        <w:tc>
          <w:tcPr>
            <w:tcW w:type="dxa" w:w="1800"/>
            <w:tcMar>
              <w:top w:w="80" w:type="dxa"/>
              <w:start w:w="120" w:type="dxa"/>
              <w:bottom w:w="80" w:type="dxa"/>
              <w:end w:w="120" w:type="dxa"/>
            </w:tcMar>
            <w:vAlign w:val="center"/>
          </w:tcPr>
          <w:p>
            <w:pPr>
              <w:spacing w:after="0"/>
            </w:pPr>
            <w:r>
              <w:rPr>
                <w:rFonts w:ascii="Calibri" w:hAnsi="Calibri"/>
                <w:b w:val="0"/>
                <w:i w:val="0"/>
                <w:color w:val="172033"/>
                <w:sz w:val="19"/>
              </w:rPr>
              <w:t>Document date</w:t>
            </w:r>
          </w:p>
        </w:tc>
        <w:tc>
          <w:tcPr>
            <w:tcW w:type="dxa" w:w="7560"/>
            <w:tcMar>
              <w:top w:w="80" w:type="dxa"/>
              <w:start w:w="120" w:type="dxa"/>
              <w:bottom w:w="80" w:type="dxa"/>
              <w:end w:w="120" w:type="dxa"/>
            </w:tcMar>
            <w:vAlign w:val="center"/>
          </w:tcPr>
          <w:p>
            <w:pPr>
              <w:spacing w:after="0"/>
            </w:pPr>
            <w:r>
              <w:rPr>
                <w:rFonts w:ascii="Calibri" w:hAnsi="Calibri"/>
                <w:b w:val="0"/>
                <w:i w:val="0"/>
                <w:color w:val="172033"/>
                <w:sz w:val="19"/>
              </w:rPr>
              <w:t>September 7, 2026</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60"/>
            </w:pPr>
            <w:r>
              <w:rPr>
                <w:rFonts w:ascii="Calibri" w:hAnsi="Calibri"/>
                <w:b/>
                <w:i w:val="0"/>
                <w:color w:val="0B2545"/>
                <w:sz w:val="22"/>
              </w:rPr>
              <w:t xml:space="preserve">The assignment  </w:t>
            </w:r>
            <w:r>
              <w:rPr>
                <w:rFonts w:ascii="Calibri" w:hAnsi="Calibri"/>
                <w:b w:val="0"/>
                <w:i w:val="0"/>
                <w:color w:val="172033"/>
                <w:sz w:val="21"/>
              </w:rPr>
              <w:t>Help turn the existing TelesalesOS foundation into a secure, multi-tenant operating system for life-insurance telesales. The first goal is a dependable CRM and platform foundation; the contact-center component requires close collaboration with a specialist who understands Telnyx, WebRTC, ACD routing, recordings, and supervisor controls.</w:t>
            </w:r>
          </w:p>
        </w:tc>
      </w:tr>
    </w:tbl>
    <w:p>
      <w:pPr>
        <w:keepLines w:val="0"/>
      </w:pPr>
      <w:r>
        <w:rPr>
          <w:rFonts w:ascii="Calibri" w:hAnsi="Calibri"/>
          <w:b w:val="0"/>
          <w:i/>
          <w:color w:val="172033"/>
          <w:sz w:val="22"/>
        </w:rPr>
        <w:t>This document is the shared product context for scoping, architecture, estimation, and implementation. It distinguishes committed requirements from implementation choices that still require an engineering recommendation.</w:t>
      </w:r>
    </w:p>
    <w:p>
      <w:r>
        <w:br w:type="page"/>
      </w:r>
    </w:p>
    <w:p>
      <w:pPr>
        <w:pStyle w:val="Heading1"/>
        <w:keepNext/>
      </w:pPr>
      <w:r>
        <w:t>1. Executive Summary</w:t>
      </w:r>
    </w:p>
    <w:p>
      <w:pPr>
        <w:keepLines w:val="0"/>
      </w:pPr>
      <w:r>
        <w:rPr>
          <w:rFonts w:ascii="Calibri" w:hAnsi="Calibri"/>
          <w:b w:val="0"/>
          <w:i w:val="0"/>
          <w:color w:val="172033"/>
          <w:sz w:val="22"/>
        </w:rPr>
        <w:t>TelesalesOS is an all-in-one sales, training, quoting, communications, recruiting, and agency-operations platform designed first for life-insurance telesales organizations. It is intended to replace a patchwork of CRM, dialer, training, quoting, recruiting, help-desk, and community tools with one role-aware system and one auditable data model.</w:t>
      </w:r>
    </w:p>
    <w:p>
      <w:pPr>
        <w:keepLines w:val="0"/>
      </w:pPr>
      <w:r>
        <w:rPr>
          <w:rFonts w:ascii="Calibri" w:hAnsi="Calibri"/>
          <w:b w:val="0"/>
          <w:i w:val="0"/>
          <w:color w:val="172033"/>
          <w:sz w:val="22"/>
        </w:rPr>
        <w:t>The platform must work for individual agents, agencies, call-center teams, and enterprise operators. It must support multiple organizations without data leakage, allow configurable branding, and provide a consistent record of every customer interaction from lead intake through sale, retention, and long-term compliance evidence.</w:t>
      </w:r>
    </w:p>
    <w:p>
      <w:pPr>
        <w:pStyle w:val="Heading2"/>
        <w:keepNext/>
      </w:pPr>
      <w:r>
        <w:t>1.1 Product priorities</w:t>
      </w:r>
    </w:p>
    <w:tbl>
      <w:tblPr>
        <w:tblStyle w:val="TableGrid"/>
        <w:tblW w:type="dxa" w:w="9360"/>
        <w:jc w:val="left"/>
        <w:tblLayout w:type="fixed"/>
        <w:tblLook w:firstColumn="1" w:firstRow="1" w:lastColumn="0" w:lastRow="0" w:noHBand="0" w:noVBand="1" w:val="04A0"/>
        <w:tblInd w:w="120" w:type="dxa"/>
      </w:tblPr>
      <w:tblGrid>
        <w:gridCol w:w="850"/>
        <w:gridCol w:w="2050"/>
        <w:gridCol w:w="6460"/>
      </w:tblGrid>
      <w:tr>
        <w:trPr>
          <w:tblHeader w:val="true"/>
        </w:trPr>
        <w:tc>
          <w:tcPr>
            <w:tcW w:type="dxa" w:w="850"/>
            <w:shd w:fill="E8EEF5"/>
            <w:tcMar>
              <w:top w:w="80" w:type="dxa"/>
              <w:start w:w="120" w:type="dxa"/>
              <w:bottom w:w="80" w:type="dxa"/>
              <w:end w:w="120" w:type="dxa"/>
            </w:tcMar>
            <w:vAlign w:val="center"/>
          </w:tcPr>
          <w:p>
            <w:pPr>
              <w:spacing w:after="0"/>
            </w:pPr>
            <w:r>
              <w:rPr>
                <w:rFonts w:ascii="Calibri" w:hAnsi="Calibri"/>
                <w:b/>
                <w:i w:val="0"/>
                <w:color w:val="0B2545"/>
                <w:sz w:val="18"/>
              </w:rPr>
              <w:t>Priority</w:t>
            </w:r>
          </w:p>
        </w:tc>
        <w:tc>
          <w:tcPr>
            <w:tcW w:type="dxa" w:w="2050"/>
            <w:shd w:fill="E8EEF5"/>
            <w:tcMar>
              <w:top w:w="80" w:type="dxa"/>
              <w:start w:w="120" w:type="dxa"/>
              <w:bottom w:w="80" w:type="dxa"/>
              <w:end w:w="120" w:type="dxa"/>
            </w:tcMar>
            <w:vAlign w:val="center"/>
          </w:tcPr>
          <w:p>
            <w:pPr>
              <w:spacing w:after="0"/>
            </w:pPr>
            <w:r>
              <w:rPr>
                <w:rFonts w:ascii="Calibri" w:hAnsi="Calibri"/>
                <w:b/>
                <w:i w:val="0"/>
                <w:color w:val="0B2545"/>
                <w:sz w:val="18"/>
              </w:rPr>
              <w:t>Module</w:t>
            </w:r>
          </w:p>
        </w:tc>
        <w:tc>
          <w:tcPr>
            <w:tcW w:type="dxa" w:w="6460"/>
            <w:shd w:fill="E8EEF5"/>
            <w:tcMar>
              <w:top w:w="80" w:type="dxa"/>
              <w:start w:w="120" w:type="dxa"/>
              <w:bottom w:w="80" w:type="dxa"/>
              <w:end w:w="120" w:type="dxa"/>
            </w:tcMar>
            <w:vAlign w:val="center"/>
          </w:tcPr>
          <w:p>
            <w:pPr>
              <w:spacing w:after="0"/>
            </w:pPr>
            <w:r>
              <w:rPr>
                <w:rFonts w:ascii="Calibri" w:hAnsi="Calibri"/>
                <w:b/>
                <w:i w:val="0"/>
                <w:color w:val="0B2545"/>
                <w:sz w:val="18"/>
              </w:rPr>
              <w:t>Outcome</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1</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Sales CRM</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Lead intake, pipeline, tasks, scripts, automations, appointments, communications, reporting</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2</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Training</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Courses, resources, quizzes, certifications, progress, onboarding</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3</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QuoteCoach</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Deterministic life-insurance quoting and underwriting guidance</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4</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Stripe billing</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$150/month, 7-day trial, entitlements, telco usage allocation</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5</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Contact center</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Telnyx voice/SMS, ACD, queues, campaigns, consent, recordings, logs, supervisor tools</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6</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Recruiting CRM</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Applicant-to-ready-to-sell pipeline and onboarding operations</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7</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AI Help Desk</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TelesalesOS Assistant grounded in platform and agency knowledge</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8</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Community</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Announcements, discussion, recognition, and leaderboards</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9</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Real-time coaching</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Live AI script/rebuttal guidance during calls</w:t>
            </w:r>
          </w:p>
        </w:tc>
      </w:tr>
      <w:tr>
        <w:trPr>
          <w:cantSplit/>
        </w:trPr>
        <w:tc>
          <w:tcPr>
            <w:tcW w:type="dxa" w:w="850"/>
            <w:tcMar>
              <w:top w:w="80" w:type="dxa"/>
              <w:start w:w="120" w:type="dxa"/>
              <w:bottom w:w="80" w:type="dxa"/>
              <w:end w:w="120" w:type="dxa"/>
            </w:tcMar>
            <w:vAlign w:val="center"/>
          </w:tcPr>
          <w:p>
            <w:pPr>
              <w:spacing w:after="0"/>
            </w:pPr>
            <w:r>
              <w:rPr>
                <w:rFonts w:ascii="Calibri" w:hAnsi="Calibri"/>
                <w:b w:val="0"/>
                <w:i w:val="0"/>
                <w:color w:val="172033"/>
                <w:sz w:val="18"/>
              </w:rPr>
              <w:t>10</w:t>
            </w:r>
          </w:p>
        </w:tc>
        <w:tc>
          <w:tcPr>
            <w:tcW w:type="dxa" w:w="2050"/>
            <w:tcMar>
              <w:top w:w="80" w:type="dxa"/>
              <w:start w:w="120" w:type="dxa"/>
              <w:bottom w:w="80" w:type="dxa"/>
              <w:end w:w="120" w:type="dxa"/>
            </w:tcMar>
            <w:vAlign w:val="center"/>
          </w:tcPr>
          <w:p>
            <w:pPr>
              <w:spacing w:after="0"/>
            </w:pPr>
            <w:r>
              <w:rPr>
                <w:rFonts w:ascii="Calibri" w:hAnsi="Calibri"/>
                <w:b w:val="0"/>
                <w:i w:val="0"/>
                <w:color w:val="172033"/>
                <w:sz w:val="18"/>
              </w:rPr>
              <w:t>Remaining modules</w:t>
            </w:r>
          </w:p>
        </w:tc>
        <w:tc>
          <w:tcPr>
            <w:tcW w:type="dxa" w:w="6460"/>
            <w:tcMar>
              <w:top w:w="80" w:type="dxa"/>
              <w:start w:w="120" w:type="dxa"/>
              <w:bottom w:w="80" w:type="dxa"/>
              <w:end w:w="120" w:type="dxa"/>
            </w:tcMar>
            <w:vAlign w:val="center"/>
          </w:tcPr>
          <w:p>
            <w:pPr>
              <w:spacing w:after="0"/>
            </w:pPr>
            <w:r>
              <w:rPr>
                <w:rFonts w:ascii="Calibri" w:hAnsi="Calibri"/>
                <w:b w:val="0"/>
                <w:i w:val="0"/>
                <w:color w:val="172033"/>
                <w:sz w:val="18"/>
              </w:rPr>
              <w:t>Reporting, carrier/vendor tools, workforce and agency operations</w:t>
            </w:r>
          </w:p>
        </w:tc>
      </w:tr>
    </w:tbl>
    <w:p>
      <w:pPr>
        <w:pStyle w:val="Heading2"/>
        <w:keepNext/>
      </w:pPr>
      <w:r>
        <w:t>1.2 Product principles</w:t>
      </w:r>
    </w:p>
    <w:p>
      <w:pPr>
        <w:pStyle w:val="ListBullet"/>
      </w:pPr>
      <w:r>
        <w:rPr>
          <w:rFonts w:ascii="Calibri" w:hAnsi="Calibri"/>
          <w:b w:val="0"/>
          <w:i w:val="0"/>
          <w:color w:val="172033"/>
          <w:sz w:val="22"/>
        </w:rPr>
        <w:t>Platform first: shared identity, organizations, roles, audit, entitlements, and design system precede isolated feature work.</w:t>
      </w:r>
    </w:p>
    <w:p>
      <w:pPr>
        <w:pStyle w:val="ListBullet"/>
      </w:pPr>
      <w:r>
        <w:rPr>
          <w:rFonts w:ascii="Calibri" w:hAnsi="Calibri"/>
          <w:b w:val="0"/>
          <w:i w:val="0"/>
          <w:color w:val="172033"/>
          <w:sz w:val="22"/>
        </w:rPr>
        <w:t>Server-authoritative decisions: permission, routing, presence, compliance, and billing decisions cannot depend solely on browser state.</w:t>
      </w:r>
    </w:p>
    <w:p>
      <w:pPr>
        <w:pStyle w:val="ListBullet"/>
      </w:pPr>
      <w:r>
        <w:rPr>
          <w:rFonts w:ascii="Calibri" w:hAnsi="Calibri"/>
          <w:b w:val="0"/>
          <w:i w:val="0"/>
          <w:color w:val="172033"/>
          <w:sz w:val="22"/>
        </w:rPr>
        <w:t>Deterministic insurance logic: carrier underwriting and rates come from versioned data and rules, never model improvisation.</w:t>
      </w:r>
    </w:p>
    <w:p>
      <w:pPr>
        <w:pStyle w:val="ListBullet"/>
      </w:pPr>
      <w:r>
        <w:rPr>
          <w:rFonts w:ascii="Calibri" w:hAnsi="Calibri"/>
          <w:b w:val="0"/>
          <w:i w:val="0"/>
          <w:color w:val="172033"/>
          <w:sz w:val="22"/>
        </w:rPr>
        <w:t>Compliance evidence by design: consent, DNC status, recordings, delivery events, and administrative actions are durable and searchable.</w:t>
      </w:r>
    </w:p>
    <w:p>
      <w:pPr>
        <w:pStyle w:val="ListBullet"/>
      </w:pPr>
      <w:r>
        <w:rPr>
          <w:rFonts w:ascii="Calibri" w:hAnsi="Calibri"/>
          <w:b w:val="0"/>
          <w:i w:val="0"/>
          <w:color w:val="172033"/>
          <w:sz w:val="22"/>
        </w:rPr>
        <w:t>Operational resilience: provider webhooks may be late, duplicated, missing, or out of order; all integrations must be idempotent and reconcilable.</w:t>
      </w:r>
    </w:p>
    <w:p>
      <w:pPr>
        <w:pStyle w:val="ListBullet"/>
      </w:pPr>
      <w:r>
        <w:rPr>
          <w:rFonts w:ascii="Calibri" w:hAnsi="Calibri"/>
          <w:b w:val="0"/>
          <w:i w:val="0"/>
          <w:color w:val="172033"/>
          <w:sz w:val="22"/>
        </w:rPr>
        <w:t>API and event boundaries: modules should integrate through stable contracts rather than direct UI-to-provider coupling.</w:t>
      </w:r>
    </w:p>
    <w:p>
      <w:pPr>
        <w:pStyle w:val="Heading1"/>
        <w:keepNext/>
      </w:pPr>
      <w:r>
        <w:t>2. Current State and Constraints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0B2545"/>
                <w:sz w:val="18"/>
              </w:rPr>
              <w:t>Area</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0B2545"/>
                <w:sz w:val="18"/>
              </w:rPr>
              <w:t>Current state</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Source control</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Private GitHub repository: Legacy-Producers-Group/telesalesos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Web app</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Next.js/React/TypeScript starter application; product functionality is not yet complete</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Hosting</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Vercel project and production alias at https://telesalesos.vercel.app</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Database/auth</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Supabase Production and Staging projects; Postgres/Auth foundation available</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Design stack</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Tailwind CSS and shadcn/ui foundation</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Telephony</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Telnyx is selected, but account applications, numbers, SIP/WebRTC, and Call Control should be treated as greenfield until verified</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Ephemeral state</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Managed Redis has not yet been provisioned; developer should recommend the service and operating model</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AI/billing/archive</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OpenAI, Stripe, and AWS S3/KMS/Object Lock integrations remain to be provisioned and implemented</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0"/>
          </w:tcPr>
          <w:p>
            <w:pPr>
              <w:spacing w:after="60"/>
            </w:pPr>
            <w:r>
              <w:rPr>
                <w:rFonts w:ascii="Calibri" w:hAnsi="Calibri"/>
                <w:b/>
                <w:i w:val="0"/>
                <w:color w:val="0B2545"/>
                <w:sz w:val="22"/>
              </w:rPr>
              <w:t xml:space="preserve">Important  </w:t>
            </w:r>
            <w:r>
              <w:rPr>
                <w:rFonts w:ascii="Calibri" w:hAnsi="Calibri"/>
                <w:b w:val="0"/>
                <w:i w:val="0"/>
                <w:color w:val="172033"/>
                <w:sz w:val="21"/>
              </w:rPr>
              <w:t>A successful deployment of the starter Next.js page is not a completed product. The developer should begin with a repository audit, environment inventory, data-model review, and written implementation plan before expanding modules.</w:t>
            </w:r>
          </w:p>
        </w:tc>
      </w:tr>
    </w:tbl>
    <w:p>
      <w:pPr>
        <w:pStyle w:val="Heading1"/>
        <w:keepNext/>
      </w:pPr>
      <w:r>
        <w:t>3. Users, Tenancy, Roles, and Branding</w:t>
      </w:r>
    </w:p>
    <w:p>
      <w:pPr>
        <w:keepLines w:val="0"/>
      </w:pPr>
      <w:r>
        <w:rPr>
          <w:rFonts w:ascii="Calibri" w:hAnsi="Calibri"/>
          <w:b w:val="0"/>
          <w:i w:val="0"/>
          <w:color w:val="172033"/>
          <w:sz w:val="22"/>
        </w:rPr>
        <w:t>TelesalesOS is multi-tenant. Every tenant-owned row must be scoped to an organization or agency, protected with server-side authorization and Supabase Row Level Security (RLS), and covered by automated cross-tenant isolation tests.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0B2545"/>
                <w:sz w:val="18"/>
              </w:rPr>
              <w:t>Role</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0B2545"/>
                <w:sz w:val="18"/>
              </w:rPr>
              <w:t>Primary capabilities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Platform Super Admin</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Manage all tenants, plans, feature flags, system integrations, compliance policies, and support tooling; impersonation only through audited support controls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Agency Admin</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Manage one agency, users, branding, pipelines, training, scripts, routing rules, phone numbers, billing, and reports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Sales Manager</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Manage assigned teams; view live calls; monitor, whisper, and barge when authorized; review recordings and performance</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Agent</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Manage assigned leads, tasks, appointments, calls, texts, email, scripts, quotes, training, and personal reporting</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Recruiter</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Manage applicants, licensing/contracting steps, communications, interviews, and onboarding</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Retention Agent</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Work retention queue and policy/customer workflows with scoped access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Compliance / QA</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Search calls and evidence, review recordings, score interactions, manage incidents and legal holds</w:t>
            </w:r>
          </w:p>
        </w:tc>
      </w:tr>
    </w:tbl>
    <w:p>
      <w:pPr>
        <w:pStyle w:val="Heading2"/>
        <w:keepNext/>
      </w:pPr>
      <w:r>
        <w:t>3.1 White-label controls</w:t>
      </w:r>
    </w:p>
    <w:p>
      <w:pPr>
        <w:pStyle w:val="ListBullet"/>
      </w:pPr>
      <w:r>
        <w:rPr>
          <w:rFonts w:ascii="Calibri" w:hAnsi="Calibri"/>
          <w:b w:val="0"/>
          <w:i w:val="0"/>
          <w:color w:val="172033"/>
          <w:sz w:val="22"/>
        </w:rPr>
        <w:t>Super Admins and Agency Admins can upload or replace the platform logo, favicon, organization name, support contact, and approved brand colors.</w:t>
      </w:r>
    </w:p>
    <w:p>
      <w:pPr>
        <w:pStyle w:val="ListBullet"/>
      </w:pPr>
      <w:r>
        <w:rPr>
          <w:rFonts w:ascii="Calibri" w:hAnsi="Calibri"/>
          <w:b w:val="0"/>
          <w:i w:val="0"/>
          <w:color w:val="172033"/>
          <w:sz w:val="22"/>
        </w:rPr>
        <w:t>Brand assets are tenant-scoped, validated by file type/size, stored privately where appropriate, and versioned/audited.</w:t>
      </w:r>
    </w:p>
    <w:p>
      <w:pPr>
        <w:pStyle w:val="ListBullet"/>
      </w:pPr>
      <w:r>
        <w:rPr>
          <w:rFonts w:ascii="Calibri" w:hAnsi="Calibri"/>
          <w:b w:val="0"/>
          <w:i w:val="0"/>
          <w:color w:val="172033"/>
          <w:sz w:val="22"/>
        </w:rPr>
        <w:t>Custom branding must never alter the canonical legal/compliance text or conceal provider disclosures that must remain visible.</w:t>
      </w:r>
    </w:p>
    <w:p>
      <w:pPr>
        <w:pStyle w:val="ListBullet"/>
      </w:pPr>
      <w:r>
        <w:rPr>
          <w:rFonts w:ascii="Calibri" w:hAnsi="Calibri"/>
          <w:b w:val="0"/>
          <w:i w:val="0"/>
          <w:color w:val="172033"/>
          <w:sz w:val="22"/>
        </w:rPr>
        <w:t>Future-ready custom domains should be modeled, but they are not required for the first functional milestone unless separately approved.</w:t>
      </w:r>
    </w:p>
    <w:p>
      <w:pPr>
        <w:pStyle w:val="Heading1"/>
        <w:keepNext/>
      </w:pPr>
      <w:r>
        <w:t>4. Shared Platform Foundation</w:t>
      </w:r>
    </w:p>
    <w:p>
      <w:pPr>
        <w:keepLines w:val="0"/>
      </w:pPr>
      <w:r>
        <w:rPr>
          <w:rFonts w:ascii="Calibri" w:hAnsi="Calibri"/>
          <w:b w:val="0"/>
          <w:i w:val="0"/>
          <w:color w:val="172033"/>
          <w:sz w:val="22"/>
        </w:rPr>
        <w:t>Build the foundation once and reuse it across every module. The full-stack developer is expected to own or strongly contribute to the following cross-cutting capabilities: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0B2545"/>
                <w:sz w:val="18"/>
              </w:rPr>
              <w:t>Capability</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0B2545"/>
                <w:sz w:val="18"/>
              </w:rPr>
              <w:t>Requirement</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Identity</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Supabase Auth, secure sessions, invitation flows, MFA-ready admin controls, account recovery</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Authorization</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RBAC plus tenant/team/ownership scope; RLS mirrors backend authorization; no client-only permission checks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Audit</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Append-only actor/action/object/time/IP/request metadata for sensitive changes and data access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Entitlements</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Plan, trial, billing status, feature flags, usage limits, and organization overrides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Files</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Private object storage, signed access, malware/type checks, tenant paths, retention policies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Events/jobs</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Transactional outbox, retryable workers, idempotency keys, dead-letter handling, reconciliation</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Observability</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Structured logs, correlation IDs, traces/metrics, provider status, alerts, and runbooks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Configuration</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Typed environment validation; separate staging/production secrets; no secrets in browser or repository</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8"/>
              </w:rPr>
              <w:t>UI system</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8"/>
              </w:rPr>
              <w:t>Accessible, responsive shadcn-based components; reusable tables, filters, forms, drawers, toasts, and empty/error states</w:t>
            </w:r>
          </w:p>
        </w:tc>
      </w:tr>
    </w:tbl>
    <w:p>
      <w:pPr>
        <w:pStyle w:val="Heading1"/>
        <w:keepNext/>
      </w:pPr>
      <w:r>
        <w:t>5. Sales CRM — Priority 1</w:t>
      </w:r>
    </w:p>
    <w:p>
      <w:pPr>
        <w:keepLines w:val="0"/>
      </w:pPr>
      <w:r>
        <w:rPr>
          <w:rFonts w:ascii="Calibri" w:hAnsi="Calibri"/>
          <w:b w:val="0"/>
          <w:i w:val="0"/>
          <w:color w:val="172033"/>
          <w:sz w:val="22"/>
        </w:rPr>
        <w:t>The Sales CRM is the operating core. It must be useful before the full contact center is complete and must expose stable APIs/events for telephony, automations, QuoteCoach, billing, and reporting.</w:t>
      </w:r>
    </w:p>
    <w:p>
      <w:pPr>
        <w:pStyle w:val="Heading2"/>
        <w:keepNext/>
      </w:pPr>
      <w:r>
        <w:t>5.1 Core records</w:t>
      </w:r>
    </w:p>
    <w:p>
      <w:pPr>
        <w:pStyle w:val="ListBullet"/>
      </w:pPr>
      <w:r>
        <w:rPr>
          <w:rFonts w:ascii="Calibri" w:hAnsi="Calibri"/>
          <w:b w:val="0"/>
          <w:i w:val="0"/>
          <w:color w:val="172033"/>
          <w:sz w:val="22"/>
        </w:rPr>
        <w:t>Leads and contacts with deduplication, normalized phones/emails, source/vendor/campaign attribution, product interest, state, timezone, preferred language, owner, and lifecycle status.</w:t>
      </w:r>
    </w:p>
    <w:p>
      <w:pPr>
        <w:pStyle w:val="ListBullet"/>
      </w:pPr>
      <w:r>
        <w:rPr>
          <w:rFonts w:ascii="Calibri" w:hAnsi="Calibri"/>
          <w:b w:val="0"/>
          <w:i w:val="0"/>
          <w:color w:val="172033"/>
          <w:sz w:val="22"/>
        </w:rPr>
        <w:t>Configurable pipelines and stages, including new, attempted, contacted, appointment scheduled, quoted, application started, submitted, approved, placed, not interested, unreachable, and DNC; agencies may customize labels while canonical analytics categories remain stable.</w:t>
      </w:r>
    </w:p>
    <w:p>
      <w:pPr>
        <w:pStyle w:val="ListBullet"/>
      </w:pPr>
      <w:r>
        <w:rPr>
          <w:rFonts w:ascii="Calibri" w:hAnsi="Calibri"/>
          <w:b w:val="0"/>
          <w:i w:val="0"/>
          <w:color w:val="172033"/>
          <w:sz w:val="22"/>
        </w:rPr>
        <w:t>Activities, tasks, notes, appointments, dispositions, attachments, tags, custom fields, and a unified chronological timeline.</w:t>
      </w:r>
    </w:p>
    <w:p>
      <w:pPr>
        <w:pStyle w:val="ListBullet"/>
      </w:pPr>
      <w:r>
        <w:rPr>
          <w:rFonts w:ascii="Calibri" w:hAnsi="Calibri"/>
          <w:b w:val="0"/>
          <w:i w:val="0"/>
          <w:color w:val="172033"/>
          <w:sz w:val="22"/>
        </w:rPr>
        <w:t>Households/relationships and policies/applications as later extensions, without forcing them into the first CRM release.</w:t>
      </w:r>
    </w:p>
    <w:p>
      <w:pPr>
        <w:pStyle w:val="ListBullet"/>
      </w:pPr>
      <w:r>
        <w:rPr>
          <w:rFonts w:ascii="Calibri" w:hAnsi="Calibri"/>
          <w:b w:val="0"/>
          <w:i w:val="0"/>
          <w:color w:val="172033"/>
          <w:sz w:val="22"/>
        </w:rPr>
        <w:t>Import/export and lead-vendor API ingestion with mapping, validation, idempotency, duplicate handling, and error reports.</w:t>
      </w:r>
    </w:p>
    <w:p>
      <w:pPr>
        <w:pStyle w:val="Heading2"/>
        <w:keepNext/>
      </w:pPr>
      <w:r>
        <w:t>5.2 Workflow automation</w:t>
      </w:r>
    </w:p>
    <w:p>
      <w:pPr>
        <w:pStyle w:val="ListBullet"/>
      </w:pPr>
      <w:r>
        <w:rPr>
          <w:rFonts w:ascii="Calibri" w:hAnsi="Calibri"/>
          <w:b w:val="0"/>
          <w:i w:val="0"/>
          <w:color w:val="172033"/>
          <w:sz w:val="22"/>
        </w:rPr>
        <w:t>Trigger/actions model: lead created, stage changed, appointment status, inbound message, call disposition, elapsed time, and manual enrollment.</w:t>
      </w:r>
    </w:p>
    <w:p>
      <w:pPr>
        <w:pStyle w:val="ListBullet"/>
      </w:pPr>
      <w:r>
        <w:rPr>
          <w:rFonts w:ascii="Calibri" w:hAnsi="Calibri"/>
          <w:b w:val="0"/>
          <w:i w:val="0"/>
          <w:color w:val="172033"/>
          <w:sz w:val="22"/>
        </w:rPr>
        <w:t>Actions: assign owner, create task, change stage, add/remove tag, send approved SMS/email, notify user, create appointment link, invoke webhook, and stop workflow.</w:t>
      </w:r>
    </w:p>
    <w:p>
      <w:pPr>
        <w:pStyle w:val="ListBullet"/>
      </w:pPr>
      <w:r>
        <w:rPr>
          <w:rFonts w:ascii="Calibri" w:hAnsi="Calibri"/>
          <w:b w:val="0"/>
          <w:i w:val="0"/>
          <w:color w:val="172033"/>
          <w:sz w:val="22"/>
        </w:rPr>
        <w:t>Delay windows must respect contact timezone, quiet hours, communication consent, DNC, opt-out, and organization limits.</w:t>
      </w:r>
    </w:p>
    <w:p>
      <w:pPr>
        <w:pStyle w:val="ListBullet"/>
      </w:pPr>
      <w:r>
        <w:rPr>
          <w:rFonts w:ascii="Calibri" w:hAnsi="Calibri"/>
          <w:b w:val="0"/>
          <w:i w:val="0"/>
          <w:color w:val="172033"/>
          <w:sz w:val="22"/>
        </w:rPr>
        <w:t>Every automated attempt records the template version, sender, recipient, consent basis, provider ID, status events, cost, and failure reason.</w:t>
      </w:r>
    </w:p>
    <w:p>
      <w:pPr>
        <w:pStyle w:val="ListBullet"/>
      </w:pPr>
      <w:r>
        <w:rPr>
          <w:rFonts w:ascii="Calibri" w:hAnsi="Calibri"/>
          <w:b w:val="0"/>
          <w:i w:val="0"/>
          <w:color w:val="172033"/>
          <w:sz w:val="22"/>
        </w:rPr>
        <w:t>Human review/approval gates should be available for sensitive or high-volume sequences.</w:t>
      </w:r>
    </w:p>
    <w:p>
      <w:pPr>
        <w:pStyle w:val="Heading2"/>
        <w:keepNext/>
      </w:pPr>
      <w:r>
        <w:t>5.3 SMS, email, and calendar</w:t>
      </w:r>
    </w:p>
    <w:p>
      <w:pPr>
        <w:pStyle w:val="ListBullet"/>
      </w:pPr>
      <w:r>
        <w:rPr>
          <w:rFonts w:ascii="Calibri" w:hAnsi="Calibri"/>
          <w:b w:val="0"/>
          <w:i w:val="0"/>
          <w:color w:val="172033"/>
          <w:sz w:val="22"/>
        </w:rPr>
        <w:t>Telnyx SMS for operational texting; inbound STOP and equivalent keywords immediately place the number on the organization/global DNC model as configured and suppress future automated contact.</w:t>
      </w:r>
    </w:p>
    <w:p>
      <w:pPr>
        <w:pStyle w:val="ListBullet"/>
      </w:pPr>
      <w:r>
        <w:rPr>
          <w:rFonts w:ascii="Calibri" w:hAnsi="Calibri"/>
          <w:b w:val="0"/>
          <w:i w:val="0"/>
          <w:color w:val="172033"/>
          <w:sz w:val="22"/>
        </w:rPr>
        <w:t>Email and calendar connection through secure OAuth; never store raw user passwords. Support provider token refresh, revocation, and least-privilege scopes.</w:t>
      </w:r>
    </w:p>
    <w:p>
      <w:pPr>
        <w:pStyle w:val="ListBullet"/>
      </w:pPr>
      <w:r>
        <w:rPr>
          <w:rFonts w:ascii="Calibri" w:hAnsi="Calibri"/>
          <w:b w:val="0"/>
          <w:i w:val="0"/>
          <w:color w:val="172033"/>
          <w:sz w:val="22"/>
        </w:rPr>
        <w:t>Appointment links should resolve agent availability, timezone, buffers, meeting type, ownership, and round-robin/team scheduling rules.</w:t>
      </w:r>
    </w:p>
    <w:p>
      <w:pPr>
        <w:pStyle w:val="ListBullet"/>
      </w:pPr>
      <w:r>
        <w:rPr>
          <w:rFonts w:ascii="Calibri" w:hAnsi="Calibri"/>
          <w:b w:val="0"/>
          <w:i w:val="0"/>
          <w:color w:val="172033"/>
          <w:sz w:val="22"/>
        </w:rPr>
        <w:t>Use a unified inbox for text/email and conversation context, but keep Calls as its own primary workspace because live call controls, queues, recordings, and supervisor operations require a specialized experience. Show calls in the CRM timeline and optionally in the inbox activity feed.</w:t>
      </w:r>
    </w:p>
    <w:p>
      <w:pPr>
        <w:pStyle w:val="Heading2"/>
        <w:keepNext/>
      </w:pPr>
      <w:r>
        <w:t>5.4 Dynamic scripting</w:t>
      </w:r>
    </w:p>
    <w:p>
      <w:pPr>
        <w:keepLines w:val="0"/>
      </w:pPr>
      <w:r>
        <w:rPr>
          <w:rFonts w:ascii="Calibri" w:hAnsi="Calibri"/>
          <w:b w:val="0"/>
          <w:i w:val="0"/>
          <w:color w:val="172033"/>
          <w:sz w:val="22"/>
        </w:rPr>
        <w:t>Admins create versioned scripts with blocks, branching questions, rebuttals, disclosures, and next actions. Merge fields such as {{lead.first_name}}, {{lead.state}}, {{agent.calendar_link}}, and {{quote.premium}} resolve from authorized CRM context. Missing values must be visibly flagged; sensitive values must not leak through logs or unauthorized previews. Published calls capture the script version used so QA can reconstruct the interaction.</w:t>
      </w:r>
    </w:p>
    <w:p>
      <w:pPr>
        <w:pStyle w:val="Heading1"/>
        <w:keepNext/>
      </w:pPr>
      <w:r>
        <w:t>6. Training and Resources — Priority 2</w:t>
      </w:r>
    </w:p>
    <w:p>
      <w:pPr>
        <w:pStyle w:val="ListBullet"/>
      </w:pPr>
      <w:r>
        <w:rPr>
          <w:rFonts w:ascii="Calibri" w:hAnsi="Calibri"/>
          <w:b w:val="0"/>
          <w:i w:val="0"/>
          <w:color w:val="172033"/>
          <w:sz w:val="22"/>
        </w:rPr>
        <w:t>Course catalog, modules, lessons, video/document/link resources, quizzes, passing scores, prerequisites, certificates, assignments, due dates, and progress tracking.</w:t>
      </w:r>
    </w:p>
    <w:p>
      <w:pPr>
        <w:pStyle w:val="ListBullet"/>
      </w:pPr>
      <w:r>
        <w:rPr>
          <w:rFonts w:ascii="Calibri" w:hAnsi="Calibri"/>
          <w:b w:val="0"/>
          <w:i w:val="0"/>
          <w:color w:val="172033"/>
          <w:sz w:val="22"/>
        </w:rPr>
        <w:t>Role-, team-, state-, product-, and carrier-based course assignment.</w:t>
      </w:r>
    </w:p>
    <w:p>
      <w:pPr>
        <w:pStyle w:val="ListBullet"/>
      </w:pPr>
      <w:r>
        <w:rPr>
          <w:rFonts w:ascii="Calibri" w:hAnsi="Calibri"/>
          <w:b w:val="0"/>
          <w:i w:val="0"/>
          <w:color w:val="172033"/>
          <w:sz w:val="22"/>
        </w:rPr>
        <w:t>Admin authoring workflow with draft/publish/versioning; completion remains tied to the version completed.</w:t>
      </w:r>
    </w:p>
    <w:p>
      <w:pPr>
        <w:pStyle w:val="ListBullet"/>
      </w:pPr>
      <w:r>
        <w:rPr>
          <w:rFonts w:ascii="Calibri" w:hAnsi="Calibri"/>
          <w:b w:val="0"/>
          <w:i w:val="0"/>
          <w:color w:val="172033"/>
          <w:sz w:val="22"/>
        </w:rPr>
        <w:t>Agent dashboard for assigned, in-progress, overdue, completed, and required-before-selling content.</w:t>
      </w:r>
    </w:p>
    <w:p>
      <w:pPr>
        <w:pStyle w:val="ListBullet"/>
      </w:pPr>
      <w:r>
        <w:rPr>
          <w:rFonts w:ascii="Calibri" w:hAnsi="Calibri"/>
          <w:b w:val="0"/>
          <w:i w:val="0"/>
          <w:color w:val="172033"/>
          <w:sz w:val="22"/>
        </w:rPr>
        <w:t>Manager reporting and export; training completion can become a hard eligibility gate for routing or product access.</w:t>
      </w:r>
    </w:p>
    <w:p>
      <w:pPr>
        <w:pStyle w:val="ListBullet"/>
      </w:pPr>
      <w:r>
        <w:rPr>
          <w:rFonts w:ascii="Calibri" w:hAnsi="Calibri"/>
          <w:b w:val="0"/>
          <w:i w:val="0"/>
          <w:color w:val="172033"/>
          <w:sz w:val="22"/>
        </w:rPr>
        <w:t>Resource library with folders, search, tags, favorites, and signed/private file access.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60"/>
            </w:pPr>
            <w:r>
              <w:rPr>
                <w:rFonts w:ascii="Calibri" w:hAnsi="Calibri"/>
                <w:b/>
                <w:i w:val="0"/>
                <w:color w:val="0B2545"/>
                <w:sz w:val="22"/>
              </w:rPr>
              <w:t xml:space="preserve">Integration point  </w:t>
            </w:r>
            <w:r>
              <w:rPr>
                <w:rFonts w:ascii="Calibri" w:hAnsi="Calibri"/>
                <w:b w:val="0"/>
                <w:i w:val="0"/>
                <w:color w:val="172033"/>
                <w:sz w:val="21"/>
              </w:rPr>
              <w:t>Agent eligibility should be derived from licensing, appointment/contracting, product authorization, required training, compliance standing, and availability. Training is therefore not only content—it can directly control access to products and routing.</w:t>
            </w:r>
          </w:p>
        </w:tc>
      </w:tr>
    </w:tbl>
    <w:p>
      <w:pPr>
        <w:pStyle w:val="Heading1"/>
        <w:keepNext/>
      </w:pPr>
      <w:r>
        <w:t>7. QuoteCoach — Priority 3</w:t>
      </w:r>
    </w:p>
    <w:p>
      <w:pPr>
        <w:keepLines w:val="0"/>
      </w:pPr>
      <w:r>
        <w:rPr>
          <w:rFonts w:ascii="Calibri" w:hAnsi="Calibri"/>
          <w:b w:val="0"/>
          <w:i w:val="0"/>
          <w:color w:val="172033"/>
          <w:sz w:val="22"/>
        </w:rPr>
        <w:t>QuoteCoach helps agents compare products and navigate underwriting without allowing an AI model to invent carrier rules or rates. PostgreSQL and deterministic TypeScript services are the system of record for eligibility, rules, and premium calculations.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E8EEF5"/>
            <w:tcMar>
              <w:top w:w="80" w:type="dxa"/>
              <w:start w:w="120" w:type="dxa"/>
              <w:bottom w:w="80" w:type="dxa"/>
              <w:end w:w="120" w:type="dxa"/>
            </w:tcMar>
            <w:vAlign w:val="center"/>
          </w:tcPr>
          <w:p>
            <w:pPr>
              <w:spacing w:after="0"/>
            </w:pPr>
            <w:r>
              <w:rPr>
                <w:rFonts w:ascii="Calibri" w:hAnsi="Calibri"/>
                <w:b/>
                <w:i w:val="0"/>
                <w:color w:val="0B2545"/>
                <w:sz w:val="18"/>
              </w:rPr>
              <w:t>Layer</w:t>
            </w:r>
          </w:p>
        </w:tc>
        <w:tc>
          <w:tcPr>
            <w:tcW w:type="dxa" w:w="7360"/>
            <w:shd w:fill="E8EEF5"/>
            <w:tcMar>
              <w:top w:w="80" w:type="dxa"/>
              <w:start w:w="120" w:type="dxa"/>
              <w:bottom w:w="80" w:type="dxa"/>
              <w:end w:w="120" w:type="dxa"/>
            </w:tcMar>
            <w:vAlign w:val="center"/>
          </w:tcPr>
          <w:p>
            <w:pPr>
              <w:spacing w:after="0"/>
            </w:pPr>
            <w:r>
              <w:rPr>
                <w:rFonts w:ascii="Calibri" w:hAnsi="Calibri"/>
                <w:b/>
                <w:i w:val="0"/>
                <w:color w:val="0B2545"/>
                <w:sz w:val="18"/>
              </w:rPr>
              <w:t>Responsibility</w:t>
            </w:r>
          </w:p>
        </w:tc>
      </w:tr>
      <w:tr>
        <w:trPr>
          <w:cantSplit/>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Versioned Postgres data</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Carriers, products, states, age bands, tobacco class, face amounts, riders, rates, underwriting questions, knockout rules, effective dates, source documents/pages</w:t>
            </w:r>
          </w:p>
        </w:tc>
      </w:tr>
      <w:tr>
        <w:trPr>
          <w:cantSplit/>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Rules/rate engine</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Deterministic eligibility and premium calculation with test fixtures and explainable results</w:t>
            </w:r>
          </w:p>
        </w:tc>
      </w:tr>
      <w:tr>
        <w:trPr>
          <w:cantSplit/>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Source retrieval</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RAG/File Search retrieves approved carrier materials and citations; never replaces structured rules</w:t>
            </w:r>
          </w:p>
        </w:tc>
      </w:tr>
      <w:tr>
        <w:trPr>
          <w:cantSplit/>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AI layer</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Parses natural-language facts, asks clarifying questions, summarizes and explains results; returns UNKNOWN when facts/rules are insufficient</w:t>
            </w:r>
          </w:p>
        </w:tc>
      </w:tr>
      <w:tr>
        <w:trPr>
          <w:cantSplit/>
        </w:trPr>
        <w:tc>
          <w:tcPr>
            <w:tcW w:type="dxa" w:w="2000"/>
            <w:tcMar>
              <w:top w:w="80" w:type="dxa"/>
              <w:start w:w="120" w:type="dxa"/>
              <w:bottom w:w="80" w:type="dxa"/>
              <w:end w:w="120" w:type="dxa"/>
            </w:tcMar>
            <w:vAlign w:val="center"/>
          </w:tcPr>
          <w:p>
            <w:pPr>
              <w:spacing w:after="0"/>
            </w:pPr>
            <w:r>
              <w:rPr>
                <w:rFonts w:ascii="Calibri" w:hAnsi="Calibri"/>
                <w:b w:val="0"/>
                <w:i w:val="0"/>
                <w:color w:val="172033"/>
                <w:sz w:val="18"/>
              </w:rPr>
              <w:t>Agent UI</w:t>
            </w:r>
          </w:p>
        </w:tc>
        <w:tc>
          <w:tcPr>
            <w:tcW w:type="dxa" w:w="7360"/>
            <w:tcMar>
              <w:top w:w="80" w:type="dxa"/>
              <w:start w:w="120" w:type="dxa"/>
              <w:bottom w:w="80" w:type="dxa"/>
              <w:end w:w="120" w:type="dxa"/>
            </w:tcMar>
            <w:vAlign w:val="center"/>
          </w:tcPr>
          <w:p>
            <w:pPr>
              <w:spacing w:after="0"/>
            </w:pPr>
            <w:r>
              <w:rPr>
                <w:rFonts w:ascii="Calibri" w:hAnsi="Calibri"/>
                <w:b w:val="0"/>
                <w:i w:val="0"/>
                <w:color w:val="172033"/>
                <w:sz w:val="18"/>
              </w:rPr>
              <w:t>Guided fact collection, warnings, product comparison, quote output, script handoff, and audit trail</w:t>
            </w:r>
          </w:p>
        </w:tc>
      </w:tr>
    </w:tbl>
    <w:p>
      <w:pPr>
        <w:pStyle w:val="Heading2"/>
        <w:keepNext/>
      </w:pPr>
      <w:r>
        <w:t>7.1 Non-negotiable controls</w:t>
      </w:r>
    </w:p>
    <w:p>
      <w:pPr>
        <w:pStyle w:val="ListBullet"/>
      </w:pPr>
      <w:r>
        <w:rPr>
          <w:rFonts w:ascii="Calibri" w:hAnsi="Calibri"/>
          <w:b w:val="0"/>
          <w:i w:val="0"/>
          <w:color w:val="172033"/>
          <w:sz w:val="22"/>
        </w:rPr>
        <w:t>GPT/OpenAI may not infer carrier underwriting or guess a rate.</w:t>
      </w:r>
    </w:p>
    <w:p>
      <w:pPr>
        <w:pStyle w:val="ListBullet"/>
      </w:pPr>
      <w:r>
        <w:rPr>
          <w:rFonts w:ascii="Calibri" w:hAnsi="Calibri"/>
          <w:b w:val="0"/>
          <w:i w:val="0"/>
          <w:color w:val="172033"/>
          <w:sz w:val="22"/>
        </w:rPr>
        <w:t>Every recommendation records carrier/product/rule/rate versions, input facts, exclusions, and source citations.</w:t>
      </w:r>
    </w:p>
    <w:p>
      <w:pPr>
        <w:pStyle w:val="ListBullet"/>
      </w:pPr>
      <w:r>
        <w:rPr>
          <w:rFonts w:ascii="Calibri" w:hAnsi="Calibri"/>
          <w:b w:val="0"/>
          <w:i w:val="0"/>
          <w:color w:val="172033"/>
          <w:sz w:val="22"/>
        </w:rPr>
        <w:t>Start with approximately three to five carriers and a narrow product set, validate accuracy, then expand.</w:t>
      </w:r>
    </w:p>
    <w:p>
      <w:pPr>
        <w:pStyle w:val="ListBullet"/>
      </w:pPr>
      <w:r>
        <w:rPr>
          <w:rFonts w:ascii="Calibri" w:hAnsi="Calibri"/>
          <w:b w:val="0"/>
          <w:i w:val="0"/>
          <w:color w:val="172033"/>
          <w:sz w:val="22"/>
        </w:rPr>
        <w:t>Changes to rates or underwriting require review, effective dating, test coverage, and safe publication/rollback.</w:t>
      </w:r>
    </w:p>
    <w:p>
      <w:pPr>
        <w:pStyle w:val="ListBullet"/>
      </w:pPr>
      <w:r>
        <w:rPr>
          <w:rFonts w:ascii="Calibri" w:hAnsi="Calibri"/>
          <w:b w:val="0"/>
          <w:i w:val="0"/>
          <w:color w:val="172033"/>
          <w:sz w:val="22"/>
        </w:rPr>
        <w:t>Sensitive health information requires strict access, data minimization, encryption, and a formal legal/compliance review before production use.</w:t>
      </w:r>
    </w:p>
    <w:p>
      <w:pPr>
        <w:pStyle w:val="Heading1"/>
        <w:keepNext/>
      </w:pPr>
      <w:r>
        <w:t>8. Stripe Billing — Priority 4</w:t>
      </w:r>
    </w:p>
    <w:p>
      <w:pPr>
        <w:pStyle w:val="ListBullet"/>
      </w:pPr>
      <w:r>
        <w:rPr>
          <w:rFonts w:ascii="Calibri" w:hAnsi="Calibri"/>
          <w:b w:val="0"/>
          <w:i w:val="0"/>
          <w:color w:val="172033"/>
          <w:sz w:val="22"/>
        </w:rPr>
        <w:t>Base subscription: $150 per month with a 7-day trial, subject to final product/price IDs and business approval.</w:t>
      </w:r>
    </w:p>
    <w:p>
      <w:pPr>
        <w:pStyle w:val="ListBullet"/>
      </w:pPr>
      <w:r>
        <w:rPr>
          <w:rFonts w:ascii="Calibri" w:hAnsi="Calibri"/>
          <w:b w:val="0"/>
          <w:i w:val="0"/>
          <w:color w:val="172033"/>
          <w:sz w:val="22"/>
        </w:rPr>
        <w:t>Stripe Checkout or an approved embedded flow, Customer Portal, subscription webhooks, invoice state, payment failures, cancellation, trial conversion, and grace/lock rules.</w:t>
      </w:r>
    </w:p>
    <w:p>
      <w:pPr>
        <w:pStyle w:val="ListBullet"/>
      </w:pPr>
      <w:r>
        <w:rPr>
          <w:rFonts w:ascii="Calibri" w:hAnsi="Calibri"/>
          <w:b w:val="0"/>
          <w:i w:val="0"/>
          <w:color w:val="172033"/>
          <w:sz w:val="22"/>
        </w:rPr>
        <w:t>Entitlements must derive from server-verified Stripe state, not query parameters or browser claims.</w:t>
      </w:r>
    </w:p>
    <w:p>
      <w:pPr>
        <w:pStyle w:val="ListBullet"/>
      </w:pPr>
      <w:r>
        <w:rPr>
          <w:rFonts w:ascii="Calibri" w:hAnsi="Calibri"/>
          <w:b w:val="0"/>
          <w:i w:val="0"/>
          <w:color w:val="172033"/>
          <w:sz w:val="22"/>
        </w:rPr>
        <w:t>Maintain a telco usage ledger that distinguishes provider cost, TelesalesOS charge, billing class, organization, agent, number, message/call, and adjustment.</w:t>
      </w:r>
    </w:p>
    <w:p>
      <w:pPr>
        <w:pStyle w:val="ListBullet"/>
      </w:pPr>
      <w:r>
        <w:rPr>
          <w:rFonts w:ascii="Calibri" w:hAnsi="Calibri"/>
          <w:b w:val="0"/>
          <w:i w:val="0"/>
          <w:color w:val="172033"/>
          <w:sz w:val="22"/>
        </w:rPr>
        <w:t>Agents receiving company-provided free leads do not personally pay telco charges; other agent classes may. Encode this as a configurable billing policy, not scattered conditionals.</w:t>
      </w:r>
    </w:p>
    <w:p>
      <w:pPr>
        <w:pStyle w:val="ListBullet"/>
      </w:pPr>
      <w:r>
        <w:rPr>
          <w:rFonts w:ascii="Calibri" w:hAnsi="Calibri"/>
          <w:b w:val="0"/>
          <w:i w:val="0"/>
          <w:color w:val="172033"/>
          <w:sz w:val="22"/>
        </w:rPr>
        <w:t>All Stripe webhooks are signed, idempotent, durably captured, and reconciled to local subscription state.</w:t>
      </w:r>
    </w:p>
    <w:p>
      <w:r>
        <w:br w:type="page"/>
      </w:r>
    </w:p>
    <w:p>
      <w:pPr>
        <w:pStyle w:val="Heading1"/>
        <w:keepNext/>
      </w:pPr>
      <w:r>
        <w:t>9. Contact Center and Telephony — Priority 5</w:t>
      </w:r>
    </w:p>
    <w:p>
      <w:pPr>
        <w:keepLines w:val="0"/>
      </w:pPr>
      <w:r>
        <w:rPr>
          <w:rFonts w:ascii="Calibri" w:hAnsi="Calibri"/>
          <w:b w:val="0"/>
          <w:i w:val="0"/>
          <w:color w:val="172033"/>
          <w:sz w:val="22"/>
        </w:rPr>
        <w:t>The contact center is a core TelesalesOS module, not a thin click-to-call widget. It must provide browser calling, ACD queues, campaigns, state/skill/performance routing, supervisor tools, recording and compliance evidence, searchable history, and tight CRM screen pops. Telnyx is the selected carrier/API provider.</w:t>
      </w:r>
    </w:p>
    <w:p>
      <w:pPr>
        <w:pStyle w:val="Heading2"/>
        <w:keepNext/>
      </w:pPr>
      <w:r>
        <w:t>9.1 Responsibility boundaries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after="0"/>
            </w:pPr>
            <w:r>
              <w:rPr>
                <w:rFonts w:ascii="Calibri" w:hAnsi="Calibri"/>
                <w:b/>
                <w:i w:val="0"/>
                <w:color w:val="0B2545"/>
                <w:sz w:val="17"/>
              </w:rPr>
              <w:t>Component</w:t>
            </w:r>
          </w:p>
        </w:tc>
        <w:tc>
          <w:tcPr>
            <w:tcW w:type="dxa" w:w="7260"/>
            <w:shd w:fill="E8EEF5"/>
            <w:tcMar>
              <w:top w:w="80" w:type="dxa"/>
              <w:start w:w="120" w:type="dxa"/>
              <w:bottom w:w="80" w:type="dxa"/>
              <w:end w:w="120" w:type="dxa"/>
            </w:tcMar>
            <w:vAlign w:val="center"/>
          </w:tcPr>
          <w:p>
            <w:pPr>
              <w:spacing w:after="0"/>
            </w:pPr>
            <w:r>
              <w:rPr>
                <w:rFonts w:ascii="Calibri" w:hAnsi="Calibri"/>
                <w:b/>
                <w:i w:val="0"/>
                <w:color w:val="0B2545"/>
                <w:sz w:val="17"/>
              </w:rPr>
              <w:t>Authoritative responsibility</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Telnyx</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PSTN connectivity, phone numbers, SIP/WebRTC, raw call-control/media/conference/recording events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Voice orchestration service</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Normalized business call state, routing decisions, reservations, queue control, commands, event processing, supervisor orchestration</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Postgres</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Durable call records, raw event journal, routing configuration/versions, audit, recording metadata, compliance evidence, usage</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Redis</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Ephemeral presence TTLs, queue state, atomic agent reservations/locks, active policy cache; always rebuildable from durable data/provider state</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Next.js/Vercel</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Agent/supervisor/admin UI and ordinary web APIs; it consumes normalized events and invokes authenticated commands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S3/KMS/Object Lock</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Long-term immutable recording archive and integrity evidence</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0"/>
          </w:tcPr>
          <w:p>
            <w:pPr>
              <w:spacing w:after="60"/>
            </w:pPr>
            <w:r>
              <w:rPr>
                <w:rFonts w:ascii="Calibri" w:hAnsi="Calibri"/>
                <w:b/>
                <w:i w:val="0"/>
                <w:color w:val="0B2545"/>
                <w:sz w:val="22"/>
              </w:rPr>
              <w:t xml:space="preserve">Deployment boundary  </w:t>
            </w:r>
            <w:r>
              <w:rPr>
                <w:rFonts w:ascii="Calibri" w:hAnsi="Calibri"/>
                <w:b w:val="0"/>
                <w:i w:val="0"/>
                <w:color w:val="172033"/>
                <w:sz w:val="21"/>
              </w:rPr>
              <w:t>Do not place persistent WebSocket sessions, latency-sensitive queue control, or call-state orchestration solely in Vercel functions. Run the voice service on persistent infrastructure such as AWS ECS/Fargate or another approved always-on container platform. Do not introduce Asterisk or FreeSWITCH unless a specialist documents why Telnyx Call Control/conferencing is insufficient and receives approval.</w:t>
            </w:r>
          </w:p>
        </w:tc>
      </w:tr>
    </w:tbl>
    <w:p>
      <w:pPr>
        <w:pStyle w:val="Heading2"/>
        <w:keepNext/>
      </w:pPr>
      <w:r>
        <w:t>9.2 Browser softphone</w:t>
      </w:r>
    </w:p>
    <w:p>
      <w:pPr>
        <w:pStyle w:val="ListBullet"/>
      </w:pPr>
      <w:r>
        <w:rPr>
          <w:rFonts w:ascii="Calibri" w:hAnsi="Calibri"/>
          <w:b w:val="0"/>
          <w:i w:val="0"/>
          <w:color w:val="172033"/>
          <w:sz w:val="22"/>
        </w:rPr>
        <w:t>Secure short-lived WebRTC credential provisioning; microphone permission and device tests; device selection; reconnect and degraded-state messaging.</w:t>
      </w:r>
    </w:p>
    <w:p>
      <w:pPr>
        <w:pStyle w:val="ListBullet"/>
      </w:pPr>
      <w:r>
        <w:rPr>
          <w:rFonts w:ascii="Calibri" w:hAnsi="Calibri"/>
          <w:b w:val="0"/>
          <w:i w:val="0"/>
          <w:color w:val="172033"/>
          <w:sz w:val="22"/>
        </w:rPr>
        <w:t>Inbound ring, answer, reject, hang up, mute, hold, DTMF, call timer, warm/cold transfer, conference, callback, notes, dispositions, and wrap-up.</w:t>
      </w:r>
    </w:p>
    <w:p>
      <w:pPr>
        <w:pStyle w:val="ListBullet"/>
      </w:pPr>
      <w:r>
        <w:rPr>
          <w:rFonts w:ascii="Calibri" w:hAnsi="Calibri"/>
          <w:b w:val="0"/>
          <w:i w:val="0"/>
          <w:color w:val="172033"/>
          <w:sz w:val="22"/>
        </w:rPr>
        <w:t>Outbound manual dial, click-to-call from CRM, and preview dialer. Unattended predictive dialing is excluded until separately approved with a compliance review.</w:t>
      </w:r>
    </w:p>
    <w:p>
      <w:pPr>
        <w:pStyle w:val="ListBullet"/>
      </w:pPr>
      <w:r>
        <w:rPr>
          <w:rFonts w:ascii="Calibri" w:hAnsi="Calibri"/>
          <w:b w:val="0"/>
          <w:i w:val="0"/>
          <w:color w:val="172033"/>
          <w:sz w:val="22"/>
        </w:rPr>
        <w:t>Every interaction correlates to an organization, agent, lead/contact, campaign, queue, number, and internal call ID where available.</w:t>
      </w:r>
    </w:p>
    <w:p>
      <w:pPr>
        <w:pStyle w:val="Heading2"/>
        <w:keepNext/>
      </w:pPr>
      <w:r>
        <w:t>9.3 Queues, campaigns, and ACD</w:t>
      </w:r>
    </w:p>
    <w:p>
      <w:pPr>
        <w:pStyle w:val="ListBullet"/>
      </w:pPr>
      <w:r>
        <w:rPr>
          <w:rFonts w:ascii="Calibri" w:hAnsi="Calibri"/>
          <w:b w:val="0"/>
          <w:i w:val="0"/>
          <w:color w:val="172033"/>
          <w:sz w:val="22"/>
        </w:rPr>
        <w:t>Initial inbound queues: Sales and Retention, with reusable queue configuration for future departments.</w:t>
      </w:r>
    </w:p>
    <w:p>
      <w:pPr>
        <w:pStyle w:val="ListBullet"/>
      </w:pPr>
      <w:r>
        <w:rPr>
          <w:rFonts w:ascii="Calibri" w:hAnsi="Calibri"/>
          <w:b w:val="0"/>
          <w:i w:val="0"/>
          <w:color w:val="172033"/>
          <w:sz w:val="22"/>
        </w:rPr>
        <w:t>Campaigns bind phone numbers, queue, business hours, scripts, lead source, dispositions, recording policy, consent policy, billing class, and routing policy version.</w:t>
      </w:r>
    </w:p>
    <w:p>
      <w:pPr>
        <w:pStyle w:val="ListBullet"/>
      </w:pPr>
      <w:r>
        <w:rPr>
          <w:rFonts w:ascii="Calibri" w:hAnsi="Calibri"/>
          <w:b w:val="0"/>
          <w:i w:val="0"/>
          <w:color w:val="172033"/>
          <w:sz w:val="22"/>
        </w:rPr>
        <w:t>Queue controls include greetings, music/announcements, estimated wait, max wait, callback/voicemail option, service level, abandon handling, overflow, after-hours, emergency fallback, and maximum concurrency.</w:t>
      </w:r>
    </w:p>
    <w:p>
      <w:pPr>
        <w:pStyle w:val="ListBullet"/>
      </w:pPr>
      <w:r>
        <w:rPr>
          <w:rFonts w:ascii="Calibri" w:hAnsi="Calibri"/>
          <w:b w:val="0"/>
          <w:i w:val="0"/>
          <w:color w:val="172033"/>
          <w:sz w:val="22"/>
        </w:rPr>
        <w:t>Supported routing strategies: longest idle, round robin, weighted, priority, lead owner, last agent, and ordered overflow/fallback.</w:t>
      </w:r>
    </w:p>
    <w:p>
      <w:pPr>
        <w:pStyle w:val="Heading1"/>
        <w:keepNext/>
      </w:pPr>
      <w:r>
        <w:t>10. Routing, Presence, and Queue Consistency</w:t>
      </w:r>
    </w:p>
    <w:p>
      <w:pPr>
        <w:pStyle w:val="Heading2"/>
        <w:keepNext/>
      </w:pPr>
      <w:r>
        <w:t>10.1 Eligibility before ranking</w:t>
      </w:r>
    </w:p>
    <w:p>
      <w:pPr>
        <w:keepLines w:val="0"/>
      </w:pPr>
      <w:r>
        <w:rPr>
          <w:rFonts w:ascii="Calibri" w:hAnsi="Calibri"/>
          <w:b w:val="0"/>
          <w:i w:val="0"/>
          <w:color w:val="172033"/>
          <w:sz w:val="22"/>
        </w:rPr>
        <w:t>State-based routing is a hard eligibility gate. An agent cannot receive a lead/call for a state or product they are not currently authorized to sell. Eligibility should be evaluated in this order:</w:t>
      </w:r>
    </w:p>
    <w:p>
      <w:pPr>
        <w:pStyle w:val="ListNumber"/>
      </w:pPr>
      <w:r>
        <w:rPr>
          <w:rFonts w:ascii="Calibri" w:hAnsi="Calibri"/>
          <w:b w:val="0"/>
          <w:i w:val="0"/>
          <w:color w:val="172033"/>
          <w:sz w:val="22"/>
        </w:rPr>
        <w:t>Organization/team membership and active account status.</w:t>
      </w:r>
    </w:p>
    <w:p>
      <w:pPr>
        <w:pStyle w:val="ListNumber"/>
      </w:pPr>
      <w:r>
        <w:rPr>
          <w:rFonts w:ascii="Calibri" w:hAnsi="Calibri"/>
          <w:b w:val="0"/>
          <w:i w:val="0"/>
          <w:color w:val="172033"/>
          <w:sz w:val="22"/>
        </w:rPr>
        <w:t>Active state license and required appointment/contracting status.</w:t>
      </w:r>
    </w:p>
    <w:p>
      <w:pPr>
        <w:pStyle w:val="ListNumber"/>
      </w:pPr>
      <w:r>
        <w:rPr>
          <w:rFonts w:ascii="Calibri" w:hAnsi="Calibri"/>
          <w:b w:val="0"/>
          <w:i w:val="0"/>
          <w:color w:val="172033"/>
          <w:sz w:val="22"/>
        </w:rPr>
        <w:t>Product/carrier authorization and required training/certification.</w:t>
      </w:r>
    </w:p>
    <w:p>
      <w:pPr>
        <w:pStyle w:val="ListNumber"/>
      </w:pPr>
      <w:r>
        <w:rPr>
          <w:rFonts w:ascii="Calibri" w:hAnsi="Calibri"/>
          <w:b w:val="0"/>
          <w:i w:val="0"/>
          <w:color w:val="172033"/>
          <w:sz w:val="22"/>
        </w:rPr>
        <w:t>Campaign, language, skill, schedule, compliance standing, and capacity rules.</w:t>
      </w:r>
    </w:p>
    <w:p>
      <w:pPr>
        <w:pStyle w:val="ListNumber"/>
      </w:pPr>
      <w:r>
        <w:rPr>
          <w:rFonts w:ascii="Calibri" w:hAnsi="Calibri"/>
          <w:b w:val="0"/>
          <w:i w:val="0"/>
          <w:color w:val="172033"/>
          <w:sz w:val="22"/>
        </w:rPr>
        <w:t>Server-authoritative availability and successful atomic reservation.</w:t>
      </w:r>
    </w:p>
    <w:p>
      <w:pPr>
        <w:pStyle w:val="Heading2"/>
        <w:keepNext/>
      </w:pPr>
      <w:r>
        <w:t>10.2 Best-agent scoring</w:t>
      </w:r>
    </w:p>
    <w:p>
      <w:pPr>
        <w:keepLines w:val="0"/>
      </w:pPr>
      <w:r>
        <w:rPr>
          <w:rFonts w:ascii="Calibri" w:hAnsi="Calibri"/>
          <w:b w:val="0"/>
          <w:i w:val="0"/>
          <w:color w:val="172033"/>
          <w:sz w:val="22"/>
        </w:rPr>
        <w:t>After hard eligibility, rank qualified agents by their likelihood to close the particular lead. Begin with a deterministic, explainable weighted score using approved signals such as state/product/lead-source/campaign performance, recency, contact/close rate, quality, compliance, capacity, and idle time. Use minimum sample sizes and statistical smoothing so a few early outcomes do not dominate. Reserve exploration capacity for new agents. Do not use protected characteristics or health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i w:val="0"/>
                <w:color w:val="0B2545"/>
                <w:sz w:val="18"/>
              </w:rPr>
              <w:t>Routing behavior</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0B2545"/>
                <w:sz w:val="18"/>
              </w:rPr>
              <w:t>Committed decision</w:t>
            </w:r>
          </w:p>
        </w:tc>
      </w:tr>
      <w:tr>
        <w:trPr>
          <w:cantSplit/>
        </w:trPr>
        <w:tc>
          <w:tcPr>
            <w:tcW w:type="dxa" w:w="2500"/>
            <w:tcMar>
              <w:top w:w="80" w:type="dxa"/>
              <w:start w:w="120" w:type="dxa"/>
              <w:bottom w:w="80" w:type="dxa"/>
              <w:end w:w="120" w:type="dxa"/>
            </w:tcMar>
            <w:vAlign w:val="center"/>
          </w:tcPr>
          <w:p>
            <w:pPr>
              <w:spacing w:after="0"/>
            </w:pPr>
            <w:r>
              <w:rPr>
                <w:rFonts w:ascii="Calibri" w:hAnsi="Calibri"/>
                <w:b w:val="0"/>
                <w:i w:val="0"/>
                <w:color w:val="172033"/>
                <w:sz w:val="18"/>
              </w:rPr>
              <w:t>Existing queued calls after rule change</w:t>
            </w:r>
          </w:p>
        </w:tc>
        <w:tc>
          <w:tcPr>
            <w:tcW w:type="dxa" w:w="6860"/>
            <w:tcMar>
              <w:top w:w="80" w:type="dxa"/>
              <w:start w:w="120" w:type="dxa"/>
              <w:bottom w:w="80" w:type="dxa"/>
              <w:end w:w="120" w:type="dxa"/>
            </w:tcMar>
            <w:vAlign w:val="center"/>
          </w:tcPr>
          <w:p>
            <w:pPr>
              <w:spacing w:after="0"/>
            </w:pPr>
            <w:r>
              <w:rPr>
                <w:rFonts w:ascii="Calibri" w:hAnsi="Calibri"/>
                <w:b w:val="0"/>
                <w:i w:val="0"/>
                <w:color w:val="172033"/>
                <w:sz w:val="18"/>
              </w:rPr>
              <w:t>Keep the immutable routing-policy version captured at queue entry by default; re-evaluate live availability/licensing/compliance. Admin may explicitly reprocess queued calls or invoke an emergency override.</w:t>
            </w:r>
          </w:p>
        </w:tc>
      </w:tr>
      <w:tr>
        <w:trPr>
          <w:cantSplit/>
        </w:trPr>
        <w:tc>
          <w:tcPr>
            <w:tcW w:type="dxa" w:w="2500"/>
            <w:tcMar>
              <w:top w:w="80" w:type="dxa"/>
              <w:start w:w="120" w:type="dxa"/>
              <w:bottom w:w="80" w:type="dxa"/>
              <w:end w:w="120" w:type="dxa"/>
            </w:tcMar>
            <w:vAlign w:val="center"/>
          </w:tcPr>
          <w:p>
            <w:pPr>
              <w:spacing w:after="0"/>
            </w:pPr>
            <w:r>
              <w:rPr>
                <w:rFonts w:ascii="Calibri" w:hAnsi="Calibri"/>
                <w:b w:val="0"/>
                <w:i w:val="0"/>
                <w:color w:val="172033"/>
                <w:sz w:val="18"/>
              </w:rPr>
              <w:t>Presence authority</w:t>
            </w:r>
          </w:p>
        </w:tc>
        <w:tc>
          <w:tcPr>
            <w:tcW w:type="dxa" w:w="6860"/>
            <w:tcMar>
              <w:top w:w="80" w:type="dxa"/>
              <w:start w:w="120" w:type="dxa"/>
              <w:bottom w:w="80" w:type="dxa"/>
              <w:end w:w="120" w:type="dxa"/>
            </w:tcMar>
            <w:vAlign w:val="center"/>
          </w:tcPr>
          <w:p>
            <w:pPr>
              <w:spacing w:after="0"/>
            </w:pPr>
            <w:r>
              <w:rPr>
                <w:rFonts w:ascii="Calibri" w:hAnsi="Calibri"/>
                <w:b w:val="0"/>
                <w:i w:val="0"/>
                <w:color w:val="172033"/>
                <w:sz w:val="18"/>
              </w:rPr>
              <w:t>Server makes the final decision from browser heartbeat, WebRTC registration, Telnyx call state, reservation, and wrap-up. Active provider call state overrides a stale browser 'available' state.</w:t>
            </w:r>
          </w:p>
        </w:tc>
      </w:tr>
      <w:tr>
        <w:trPr>
          <w:cantSplit/>
        </w:trPr>
        <w:tc>
          <w:tcPr>
            <w:tcW w:type="dxa" w:w="2500"/>
            <w:tcMar>
              <w:top w:w="80" w:type="dxa"/>
              <w:start w:w="120" w:type="dxa"/>
              <w:bottom w:w="80" w:type="dxa"/>
              <w:end w:w="120" w:type="dxa"/>
            </w:tcMar>
            <w:vAlign w:val="center"/>
          </w:tcPr>
          <w:p>
            <w:pPr>
              <w:spacing w:after="0"/>
            </w:pPr>
            <w:r>
              <w:rPr>
                <w:rFonts w:ascii="Calibri" w:hAnsi="Calibri"/>
                <w:b w:val="0"/>
                <w:i w:val="0"/>
                <w:color w:val="172033"/>
                <w:sz w:val="18"/>
              </w:rPr>
              <w:t>Reservation</w:t>
            </w:r>
          </w:p>
        </w:tc>
        <w:tc>
          <w:tcPr>
            <w:tcW w:type="dxa" w:w="6860"/>
            <w:tcMar>
              <w:top w:w="80" w:type="dxa"/>
              <w:start w:w="120" w:type="dxa"/>
              <w:bottom w:w="80" w:type="dxa"/>
              <w:end w:w="120" w:type="dxa"/>
            </w:tcMar>
            <w:vAlign w:val="center"/>
          </w:tcPr>
          <w:p>
            <w:pPr>
              <w:spacing w:after="0"/>
            </w:pPr>
            <w:r>
              <w:rPr>
                <w:rFonts w:ascii="Calibri" w:hAnsi="Calibri"/>
                <w:b w:val="0"/>
                <w:i w:val="0"/>
                <w:color w:val="172033"/>
                <w:sz w:val="18"/>
              </w:rPr>
              <w:t>Atomic Redis lock/reservation with TTL and idempotent release; never offer the same agent to multiple calls beyond configured capacity.</w:t>
            </w:r>
          </w:p>
        </w:tc>
      </w:tr>
      <w:tr>
        <w:trPr>
          <w:cantSplit/>
        </w:trPr>
        <w:tc>
          <w:tcPr>
            <w:tcW w:type="dxa" w:w="2500"/>
            <w:tcMar>
              <w:top w:w="80" w:type="dxa"/>
              <w:start w:w="120" w:type="dxa"/>
              <w:bottom w:w="80" w:type="dxa"/>
              <w:end w:w="120" w:type="dxa"/>
            </w:tcMar>
            <w:vAlign w:val="center"/>
          </w:tcPr>
          <w:p>
            <w:pPr>
              <w:spacing w:after="0"/>
            </w:pPr>
            <w:r>
              <w:rPr>
                <w:rFonts w:ascii="Calibri" w:hAnsi="Calibri"/>
                <w:b w:val="0"/>
                <w:i w:val="0"/>
                <w:color w:val="172033"/>
                <w:sz w:val="18"/>
              </w:rPr>
              <w:t>Redis unavailable</w:t>
            </w:r>
          </w:p>
        </w:tc>
        <w:tc>
          <w:tcPr>
            <w:tcW w:type="dxa" w:w="6860"/>
            <w:tcMar>
              <w:top w:w="80" w:type="dxa"/>
              <w:start w:w="120" w:type="dxa"/>
              <w:bottom w:w="80" w:type="dxa"/>
              <w:end w:w="120" w:type="dxa"/>
            </w:tcMar>
            <w:vAlign w:val="center"/>
          </w:tcPr>
          <w:p>
            <w:pPr>
              <w:spacing w:after="0"/>
            </w:pPr>
            <w:r>
              <w:rPr>
                <w:rFonts w:ascii="Calibri" w:hAnsi="Calibri"/>
                <w:b w:val="0"/>
                <w:i w:val="0"/>
                <w:color w:val="172033"/>
                <w:sz w:val="18"/>
              </w:rPr>
              <w:t>Outbound routing fails closed. Inbound uses the last verified in-memory policy or a preconfigured Telnyx safe fallback; no silent random routing.</w:t>
            </w:r>
          </w:p>
        </w:tc>
      </w:tr>
    </w:tbl>
    <w:p>
      <w:pPr>
        <w:pStyle w:val="Heading2"/>
        <w:keepNext/>
      </w:pPr>
      <w:r>
        <w:t>10.3 Routing configuration model</w:t>
      </w:r>
    </w:p>
    <w:p>
      <w:pPr>
        <w:keepLines w:val="0"/>
      </w:pPr>
      <w:r>
        <w:rPr>
          <w:rFonts w:ascii="Calibri" w:hAnsi="Calibri"/>
          <w:b w:val="0"/>
          <w:i w:val="0"/>
          <w:color w:val="172033"/>
          <w:sz w:val="22"/>
        </w:rPr>
        <w:t>Baseline durable schema: routing_policies, routing_policy_versions (immutable/published), routing_rules, routing_rule_conditions, routing_rule_actions, skills, agent_skills, agent_licenses, agent_product_authorizations, queue_memberships, agent_performance_rollups, call_queue_entries, agent_reservations, routing_attempts, routing_decisions, routing_candidate_evaluations, and routing_config_outbox.</w:t>
      </w:r>
    </w:p>
    <w:p>
      <w:pPr>
        <w:pStyle w:val="Heading2"/>
        <w:keepNext/>
      </w:pPr>
      <w:r>
        <w:t>10.4 Postgres-to-Redis publication</w:t>
      </w:r>
    </w:p>
    <w:p>
      <w:pPr>
        <w:pStyle w:val="ListBullet"/>
      </w:pPr>
      <w:r>
        <w:rPr>
          <w:rFonts w:ascii="Calibri" w:hAnsi="Calibri"/>
          <w:b w:val="0"/>
          <w:i w:val="0"/>
          <w:color w:val="172033"/>
          <w:sz w:val="22"/>
        </w:rPr>
        <w:t>Postgres is the source of truth. Publishing a policy writes the immutable version and transactional outbox record in one transaction.</w:t>
      </w:r>
    </w:p>
    <w:p>
      <w:pPr>
        <w:pStyle w:val="ListBullet"/>
      </w:pPr>
      <w:r>
        <w:rPr>
          <w:rFonts w:ascii="Calibri" w:hAnsi="Calibri"/>
          <w:b w:val="0"/>
          <w:i w:val="0"/>
          <w:color w:val="172033"/>
          <w:sz w:val="22"/>
        </w:rPr>
        <w:t>A worker validates and compiles the policy, calculates a checksum, writes an immutable versioned Redis blob, then atomically swaps the active pointer using Lua or MULTI/EXEC.</w:t>
      </w:r>
    </w:p>
    <w:p>
      <w:pPr>
        <w:pStyle w:val="ListBullet"/>
      </w:pPr>
      <w:r>
        <w:rPr>
          <w:rFonts w:ascii="Calibri" w:hAnsi="Calibri"/>
          <w:b w:val="0"/>
          <w:i w:val="0"/>
          <w:color w:val="172033"/>
          <w:sz w:val="22"/>
        </w:rPr>
        <w:t>The voice service receives an invalidation/version event and loads only complete verified versions.</w:t>
      </w:r>
    </w:p>
    <w:p>
      <w:pPr>
        <w:pStyle w:val="ListBullet"/>
      </w:pPr>
      <w:r>
        <w:rPr>
          <w:rFonts w:ascii="Calibri" w:hAnsi="Calibri"/>
          <w:b w:val="0"/>
          <w:i w:val="0"/>
          <w:color w:val="172033"/>
          <w:sz w:val="22"/>
        </w:rPr>
        <w:t>A reconciliation worker continuously compares active versions/checksums and repairs divergence. Redis can be rebuilt from Postgres.</w:t>
      </w:r>
    </w:p>
    <w:p>
      <w:pPr>
        <w:pStyle w:val="Heading1"/>
        <w:keepNext/>
      </w:pPr>
      <w:r>
        <w:t>11. Call State, Webhooks, and Real-Time Dashboards</w:t>
      </w:r>
    </w:p>
    <w:p>
      <w:pPr>
        <w:pStyle w:val="Heading2"/>
        <w:keepNext/>
      </w:pPr>
      <w:r>
        <w:t>11.1 Hybrid source of truth</w:t>
      </w:r>
    </w:p>
    <w:p>
      <w:pPr>
        <w:keepLines w:val="0"/>
      </w:pPr>
      <w:r>
        <w:rPr>
          <w:rFonts w:ascii="Calibri" w:hAnsi="Calibri"/>
          <w:b w:val="0"/>
          <w:i w:val="0"/>
          <w:color w:val="172033"/>
          <w:sz w:val="22"/>
        </w:rPr>
        <w:t>Telnyx is authoritative for raw carrier/SIP/media/call-leg facts. The TelesalesOS voice service is authoritative for the normalized business state used by queues, agents, supervisors, and reports. Postgres is the durable journal. The dashboard consumes the normalized event stream and must not infer truth from a single browser connection.</w:t>
      </w:r>
    </w:p>
    <w:p>
      <w:pPr>
        <w:pStyle w:val="Heading2"/>
        <w:keepNext/>
      </w:pPr>
      <w:r>
        <w:t>11.2 Correlation model</w:t>
      </w:r>
    </w:p>
    <w:p>
      <w:pPr>
        <w:pStyle w:val="ListBullet"/>
      </w:pPr>
      <w:r>
        <w:rPr>
          <w:rFonts w:ascii="Calibri" w:hAnsi="Calibri"/>
          <w:b w:val="0"/>
          <w:i w:val="0"/>
          <w:color w:val="172033"/>
          <w:sz w:val="22"/>
        </w:rPr>
        <w:t>Generate an internal call_id at the earliest controlled point.</w:t>
      </w:r>
    </w:p>
    <w:p>
      <w:pPr>
        <w:pStyle w:val="ListBullet"/>
      </w:pPr>
      <w:r>
        <w:rPr>
          <w:rFonts w:ascii="Calibri" w:hAnsi="Calibri"/>
          <w:b w:val="0"/>
          <w:i w:val="0"/>
          <w:color w:val="172033"/>
          <w:sz w:val="22"/>
        </w:rPr>
        <w:t>Persist Telnyx call_control_id, call_session_id, call_leg_id, command IDs, conference ID, recording IDs, and provider event IDs.</w:t>
      </w:r>
    </w:p>
    <w:p>
      <w:pPr>
        <w:pStyle w:val="ListBullet"/>
      </w:pPr>
      <w:r>
        <w:rPr>
          <w:rFonts w:ascii="Calibri" w:hAnsi="Calibri"/>
          <w:b w:val="0"/>
          <w:i w:val="0"/>
          <w:color w:val="172033"/>
          <w:sz w:val="22"/>
        </w:rPr>
        <w:t>Model transfers as parent/child call legs; preserve one business interaction/session while retaining each leg's independent state and participants.</w:t>
      </w:r>
    </w:p>
    <w:p>
      <w:pPr>
        <w:pStyle w:val="ListBullet"/>
      </w:pPr>
      <w:r>
        <w:rPr>
          <w:rFonts w:ascii="Calibri" w:hAnsi="Calibri"/>
          <w:b w:val="0"/>
          <w:i w:val="0"/>
          <w:color w:val="172033"/>
          <w:sz w:val="22"/>
        </w:rPr>
        <w:t>Use the internal call_id in application logs, audit entries, routing decisions, CRM activity, archive objects, usage records, and live dashboard events.</w:t>
      </w:r>
    </w:p>
    <w:p>
      <w:pPr>
        <w:pStyle w:val="Heading2"/>
        <w:keepNext/>
      </w:pPr>
      <w:r>
        <w:t>11.3 Webhook ingestion and reconciliation</w:t>
      </w:r>
    </w:p>
    <w:p>
      <w:pPr>
        <w:pStyle w:val="ListBullet"/>
      </w:pPr>
      <w:r>
        <w:rPr>
          <w:rFonts w:ascii="Calibri" w:hAnsi="Calibri"/>
          <w:b w:val="0"/>
          <w:i w:val="0"/>
          <w:color w:val="172033"/>
          <w:sz w:val="22"/>
        </w:rPr>
        <w:t>Verify Telnyx signatures against the raw request body; reject invalid/stale requests and protect replay windows.</w:t>
      </w:r>
    </w:p>
    <w:p>
      <w:pPr>
        <w:pStyle w:val="ListBullet"/>
      </w:pPr>
      <w:r>
        <w:rPr>
          <w:rFonts w:ascii="Calibri" w:hAnsi="Calibri"/>
          <w:b w:val="0"/>
          <w:i w:val="0"/>
          <w:color w:val="172033"/>
          <w:sz w:val="22"/>
        </w:rPr>
        <w:t>Durably store the raw event before or with acknowledgement; enforce uniqueness on provider event ID and use idempotent command keys.</w:t>
      </w:r>
    </w:p>
    <w:p>
      <w:pPr>
        <w:pStyle w:val="ListBullet"/>
      </w:pPr>
      <w:r>
        <w:rPr>
          <w:rFonts w:ascii="Calibri" w:hAnsi="Calibri"/>
          <w:b w:val="0"/>
          <w:i w:val="0"/>
          <w:color w:val="172033"/>
          <w:sz w:val="22"/>
        </w:rPr>
        <w:t>Record occurred_at and received_at. Process per call/session serially through an allowed state machine; terminal states cannot regress because of a late event.</w:t>
      </w:r>
    </w:p>
    <w:p>
      <w:pPr>
        <w:pStyle w:val="ListBullet"/>
      </w:pPr>
      <w:r>
        <w:rPr>
          <w:rFonts w:ascii="Calibri" w:hAnsi="Calibri"/>
          <w:b w:val="0"/>
          <w:i w:val="0"/>
          <w:color w:val="172033"/>
          <w:sz w:val="22"/>
        </w:rPr>
        <w:t>Separate call completion from recording finalization. A completed call may have recording_archive_status=pending until retrieval, verification, and archive succeed.</w:t>
      </w:r>
    </w:p>
    <w:p>
      <w:pPr>
        <w:pStyle w:val="ListBullet"/>
      </w:pPr>
      <w:r>
        <w:rPr>
          <w:rFonts w:ascii="Calibri" w:hAnsi="Calibri"/>
          <w:b w:val="0"/>
          <w:i w:val="0"/>
          <w:color w:val="172033"/>
          <w:sz w:val="22"/>
        </w:rPr>
        <w:t>Use retries with bounded backoff, dead-letter queues, replay tooling, stuck-call detection, provider reconciliation, and projection rebuilds from the raw journal.</w:t>
      </w:r>
    </w:p>
    <w:p>
      <w:pPr>
        <w:pStyle w:val="Heading2"/>
        <w:keepNext/>
      </w:pPr>
      <w:r>
        <w:t>11.4 Real-time workspaces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0B2545"/>
                <w:sz w:val="18"/>
              </w:rPr>
              <w:t>Workspace</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0B2545"/>
                <w:sz w:val="18"/>
              </w:rPr>
              <w:t>What it shows</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8"/>
              </w:rPr>
              <w:t>Agent Calls</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8"/>
              </w:rPr>
              <w:t>Softphone, queue status, active lead screen pop, script, notes, disposition, wrap-up</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8"/>
              </w:rPr>
              <w:t>Supervisor Live Calls</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8"/>
              </w:rPr>
              <w:t>All authorized live calls, queue/campaign, agent/customer, duration, state, recording indicator, monitor/whisper/barge controls</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8"/>
              </w:rPr>
              <w:t>Queue dashboard</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8"/>
              </w:rPr>
              <w:t>Waiting/active/abandoned, SLA, longest wait, available/reserved/busy/wrap-up agents, overflow status</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8"/>
              </w:rPr>
              <w:t>Call log</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8"/>
              </w:rPr>
              <w:t>Search/filter/export by date/time, agent, customer, phone, queue, campaign, source/vendor, disposition, state, recording, consent tokens, supervisor participation</w:t>
            </w:r>
          </w:p>
        </w:tc>
      </w:tr>
    </w:tbl>
    <w:p>
      <w:pPr>
        <w:pStyle w:val="Heading1"/>
        <w:keepNext/>
      </w:pPr>
      <w:r>
        <w:t>12. Supervisor Controls</w:t>
      </w:r>
    </w:p>
    <w:p>
      <w:pPr>
        <w:keepLines w:val="0"/>
      </w:pPr>
      <w:r>
        <w:rPr>
          <w:rFonts w:ascii="Calibri" w:hAnsi="Calibri"/>
          <w:b w:val="0"/>
          <w:i w:val="0"/>
          <w:color w:val="172033"/>
          <w:sz w:val="22"/>
        </w:rPr>
        <w:t>Authorized Super Admins, Agency Admins, and Sales Managers can select a live call and enter a supervised mode. Use Telnyx conference participation/supervisor primitives where appropriate.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b/>
                <w:i w:val="0"/>
                <w:color w:val="0B2545"/>
                <w:sz w:val="18"/>
              </w:rPr>
              <w:t>Mode</w:t>
            </w:r>
          </w:p>
        </w:tc>
        <w:tc>
          <w:tcPr>
            <w:tcW w:type="dxa" w:w="7660"/>
            <w:shd w:fill="E8EEF5"/>
            <w:tcMar>
              <w:top w:w="80" w:type="dxa"/>
              <w:start w:w="120" w:type="dxa"/>
              <w:bottom w:w="80" w:type="dxa"/>
              <w:end w:w="120" w:type="dxa"/>
            </w:tcMar>
            <w:vAlign w:val="center"/>
          </w:tcPr>
          <w:p>
            <w:pPr>
              <w:spacing w:after="0"/>
            </w:pPr>
            <w:r>
              <w:rPr>
                <w:rFonts w:ascii="Calibri" w:hAnsi="Calibri"/>
                <w:b/>
                <w:i w:val="0"/>
                <w:color w:val="0B2545"/>
                <w:sz w:val="18"/>
              </w:rPr>
              <w:t>Behavior and safeguards</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172033"/>
                <w:sz w:val="18"/>
              </w:rPr>
              <w:t>Monitor</w:t>
            </w:r>
          </w:p>
        </w:tc>
        <w:tc>
          <w:tcPr>
            <w:tcW w:type="dxa" w:w="7660"/>
            <w:tcMar>
              <w:top w:w="80" w:type="dxa"/>
              <w:start w:w="120" w:type="dxa"/>
              <w:bottom w:w="80" w:type="dxa"/>
              <w:end w:w="120" w:type="dxa"/>
            </w:tcMar>
            <w:vAlign w:val="center"/>
          </w:tcPr>
          <w:p>
            <w:pPr>
              <w:spacing w:after="0"/>
            </w:pPr>
            <w:r>
              <w:rPr>
                <w:rFonts w:ascii="Calibri" w:hAnsi="Calibri"/>
                <w:b w:val="0"/>
                <w:i w:val="0"/>
                <w:color w:val="172033"/>
                <w:sz w:val="18"/>
              </w:rPr>
              <w:t>Supervisor hears the call; agent/customer do not hear supervisor</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172033"/>
                <w:sz w:val="18"/>
              </w:rPr>
              <w:t>Whisper</w:t>
            </w:r>
          </w:p>
        </w:tc>
        <w:tc>
          <w:tcPr>
            <w:tcW w:type="dxa" w:w="7660"/>
            <w:tcMar>
              <w:top w:w="80" w:type="dxa"/>
              <w:start w:w="120" w:type="dxa"/>
              <w:bottom w:w="80" w:type="dxa"/>
              <w:end w:w="120" w:type="dxa"/>
            </w:tcMar>
            <w:vAlign w:val="center"/>
          </w:tcPr>
          <w:p>
            <w:pPr>
              <w:spacing w:after="0"/>
            </w:pPr>
            <w:r>
              <w:rPr>
                <w:rFonts w:ascii="Calibri" w:hAnsi="Calibri"/>
                <w:b w:val="0"/>
                <w:i w:val="0"/>
                <w:color w:val="172033"/>
                <w:sz w:val="18"/>
              </w:rPr>
              <w:t>Supervisor speaks to agent only; customer must not hear supervisor</w:t>
            </w:r>
          </w:p>
        </w:tc>
      </w:tr>
      <w:tr>
        <w:trPr>
          <w:cantSplit/>
        </w:trPr>
        <w:tc>
          <w:tcPr>
            <w:tcW w:type="dxa" w:w="1700"/>
            <w:tcMar>
              <w:top w:w="80" w:type="dxa"/>
              <w:start w:w="120" w:type="dxa"/>
              <w:bottom w:w="80" w:type="dxa"/>
              <w:end w:w="120" w:type="dxa"/>
            </w:tcMar>
            <w:vAlign w:val="center"/>
          </w:tcPr>
          <w:p>
            <w:pPr>
              <w:spacing w:after="0"/>
            </w:pPr>
            <w:r>
              <w:rPr>
                <w:rFonts w:ascii="Calibri" w:hAnsi="Calibri"/>
                <w:b w:val="0"/>
                <w:i w:val="0"/>
                <w:color w:val="172033"/>
                <w:sz w:val="18"/>
              </w:rPr>
              <w:t>Barge</w:t>
            </w:r>
          </w:p>
        </w:tc>
        <w:tc>
          <w:tcPr>
            <w:tcW w:type="dxa" w:w="7660"/>
            <w:tcMar>
              <w:top w:w="80" w:type="dxa"/>
              <w:start w:w="120" w:type="dxa"/>
              <w:bottom w:w="80" w:type="dxa"/>
              <w:end w:w="120" w:type="dxa"/>
            </w:tcMar>
            <w:vAlign w:val="center"/>
          </w:tcPr>
          <w:p>
            <w:pPr>
              <w:spacing w:after="0"/>
            </w:pPr>
            <w:r>
              <w:rPr>
                <w:rFonts w:ascii="Calibri" w:hAnsi="Calibri"/>
                <w:b w:val="0"/>
                <w:i w:val="0"/>
                <w:color w:val="172033"/>
                <w:sz w:val="18"/>
              </w:rPr>
              <w:t>Supervisor joins audibly as a participant</w:t>
            </w:r>
          </w:p>
        </w:tc>
      </w:tr>
    </w:tbl>
    <w:p>
      <w:pPr>
        <w:pStyle w:val="ListBullet"/>
      </w:pPr>
      <w:r>
        <w:rPr>
          <w:rFonts w:ascii="Calibri" w:hAnsi="Calibri"/>
          <w:b w:val="0"/>
          <w:i w:val="0"/>
          <w:color w:val="172033"/>
          <w:sz w:val="22"/>
        </w:rPr>
        <w:t>All starts/stops/mode changes require server authorization and immutable audit events with actor, call, reason, and timestamps.</w:t>
      </w:r>
    </w:p>
    <w:p>
      <w:pPr>
        <w:pStyle w:val="ListBullet"/>
      </w:pPr>
      <w:r>
        <w:rPr>
          <w:rFonts w:ascii="Calibri" w:hAnsi="Calibri"/>
          <w:b w:val="0"/>
          <w:i w:val="0"/>
          <w:color w:val="172033"/>
          <w:sz w:val="22"/>
        </w:rPr>
        <w:t>UI must clearly show current supervisor mode and all participants; prevent accidental barge through confirmation and role policy.</w:t>
      </w:r>
    </w:p>
    <w:p>
      <w:pPr>
        <w:pStyle w:val="ListBullet"/>
      </w:pPr>
      <w:r>
        <w:rPr>
          <w:rFonts w:ascii="Calibri" w:hAnsi="Calibri"/>
          <w:b w:val="0"/>
          <w:i w:val="0"/>
          <w:color w:val="172033"/>
          <w:sz w:val="22"/>
        </w:rPr>
        <w:t>Access is scoped by organization/team/queue. Cross-tenant monitoring is impossible outside separately audited platform-support controls.</w:t>
      </w:r>
    </w:p>
    <w:p>
      <w:pPr>
        <w:pStyle w:val="ListBullet"/>
      </w:pPr>
      <w:r>
        <w:rPr>
          <w:rFonts w:ascii="Calibri" w:hAnsi="Calibri"/>
          <w:b w:val="0"/>
          <w:i w:val="0"/>
          <w:color w:val="172033"/>
          <w:sz w:val="22"/>
        </w:rPr>
        <w:t>Legal notice/consent requirements vary by jurisdiction and must be configured with counsel before production deployment.</w:t>
      </w:r>
    </w:p>
    <w:p>
      <w:pPr>
        <w:pStyle w:val="Heading1"/>
        <w:keepNext/>
      </w:pPr>
      <w:r>
        <w:t>13. Recordings, Retention, and Compliance Evidence</w:t>
      </w:r>
    </w:p>
    <w:p>
      <w:pPr>
        <w:keepLines w:val="0"/>
      </w:pPr>
      <w:r>
        <w:rPr>
          <w:rFonts w:ascii="Calibri" w:hAnsi="Calibri"/>
          <w:b w:val="0"/>
          <w:i w:val="0"/>
          <w:color w:val="172033"/>
          <w:sz w:val="22"/>
        </w:rPr>
        <w:t>Calls that policy requires to be recorded should use dual-channel recording where practical. Telnyx may originate the recording, but it is not the sole long-term archive. Recordings and their metadata must remain searchable for seven years.</w:t>
      </w:r>
    </w:p>
    <w:p>
      <w:pPr>
        <w:pStyle w:val="Heading2"/>
        <w:keepNext/>
      </w:pPr>
      <w:r>
        <w:t>13.1 Archive requirements</w:t>
      </w:r>
    </w:p>
    <w:p>
      <w:pPr>
        <w:pStyle w:val="ListBullet"/>
      </w:pPr>
      <w:r>
        <w:rPr>
          <w:rFonts w:ascii="Calibri" w:hAnsi="Calibri"/>
          <w:b w:val="0"/>
          <w:i w:val="0"/>
          <w:color w:val="172033"/>
          <w:sz w:val="22"/>
        </w:rPr>
        <w:t>Private AWS S3 bucket with versioning, SSE-KMS, strict bucket policy, blocked public access, and least-privilege service roles.</w:t>
      </w:r>
    </w:p>
    <w:p>
      <w:pPr>
        <w:pStyle w:val="ListBullet"/>
      </w:pPr>
      <w:r>
        <w:rPr>
          <w:rFonts w:ascii="Calibri" w:hAnsi="Calibri"/>
          <w:b w:val="0"/>
          <w:i w:val="0"/>
          <w:color w:val="172033"/>
          <w:sz w:val="22"/>
        </w:rPr>
        <w:t>S3 Object Lock: Governance mode in staging; Compliance mode in production only after written approval of the exact retention policy because locked objects cannot be shortened/deleted through normal administration.</w:t>
      </w:r>
    </w:p>
    <w:p>
      <w:pPr>
        <w:pStyle w:val="ListBullet"/>
      </w:pPr>
      <w:r>
        <w:rPr>
          <w:rFonts w:ascii="Calibri" w:hAnsi="Calibri"/>
          <w:b w:val="0"/>
          <w:i w:val="0"/>
          <w:color w:val="172033"/>
          <w:sz w:val="22"/>
        </w:rPr>
        <w:t>Seven-year retention measured from the approved business event/date; legal holds can extend retention. UI deletion never bypasses server-side retention.</w:t>
      </w:r>
    </w:p>
    <w:p>
      <w:pPr>
        <w:pStyle w:val="ListBullet"/>
      </w:pPr>
      <w:r>
        <w:rPr>
          <w:rFonts w:ascii="Calibri" w:hAnsi="Calibri"/>
          <w:b w:val="0"/>
          <w:i w:val="0"/>
          <w:color w:val="172033"/>
          <w:sz w:val="22"/>
        </w:rPr>
        <w:t>Integrity hash, content length/type, source provider IDs, archive timestamp, KMS key, object version, retention-until date, and legal-hold state stored with the recording record.</w:t>
      </w:r>
    </w:p>
    <w:p>
      <w:pPr>
        <w:pStyle w:val="ListBullet"/>
      </w:pPr>
      <w:r>
        <w:rPr>
          <w:rFonts w:ascii="Calibri" w:hAnsi="Calibri"/>
          <w:b w:val="0"/>
          <w:i w:val="0"/>
          <w:color w:val="172033"/>
          <w:sz w:val="22"/>
        </w:rPr>
        <w:t>Playback through short-lived signed access after server authorization. Every playback, download, export, retention change, and hold action is audited.</w:t>
      </w:r>
    </w:p>
    <w:p>
      <w:pPr>
        <w:pStyle w:val="Heading2"/>
        <w:keepNext/>
      </w:pPr>
      <w:r>
        <w:t>13.2 Archive failure policy</w:t>
      </w:r>
    </w:p>
    <w:p>
      <w:pPr>
        <w:keepLines w:val="0"/>
      </w:pPr>
      <w:r>
        <w:rPr>
          <w:rFonts w:ascii="Calibri" w:hAnsi="Calibri"/>
          <w:b w:val="0"/>
          <w:i w:val="0"/>
          <w:color w:val="172033"/>
          <w:sz w:val="22"/>
        </w:rPr>
        <w:t>An isolated archive failure is a high-priority compliance incident: retry, place in a dead-letter/reconciliation queue, alert designated admins, and keep calling available. A systemic archive failure or sustained backlog activates a circuit breaker that pauses new outbound campaigns that require recording. Existing calls are not dropped; inbound calls follow the approved safe fallback and produce explicit incident evidence.</w:t>
      </w:r>
    </w:p>
    <w:p>
      <w:pPr>
        <w:pStyle w:val="Heading2"/>
        <w:keepNext/>
      </w:pPr>
      <w:r>
        <w:t>13.3 Consent, TrustedForm, Jornaya, and DNC</w:t>
      </w:r>
    </w:p>
    <w:p>
      <w:pPr>
        <w:pStyle w:val="ListBullet"/>
      </w:pPr>
      <w:r>
        <w:rPr>
          <w:rFonts w:ascii="Calibri" w:hAnsi="Calibri"/>
          <w:b w:val="0"/>
          <w:i w:val="0"/>
          <w:color w:val="172033"/>
          <w:sz w:val="22"/>
        </w:rPr>
        <w:t>Lead schema must store TrustedForm certificate URL/token and Jornaya LeadID token plus provider/source, captured_at, received_at, validation result, payload hash, and the consent language/version where supplied.</w:t>
      </w:r>
    </w:p>
    <w:p>
      <w:pPr>
        <w:pStyle w:val="ListBullet"/>
      </w:pPr>
      <w:r>
        <w:rPr>
          <w:rFonts w:ascii="Calibri" w:hAnsi="Calibri"/>
          <w:b w:val="0"/>
          <w:i w:val="0"/>
          <w:color w:val="172033"/>
          <w:sz w:val="22"/>
        </w:rPr>
        <w:t>APIs/imports accept and pass these tokens without lossy transformation. Validation/enrichment calls record request/response metadata and status without exposing secrets.</w:t>
      </w:r>
    </w:p>
    <w:p>
      <w:pPr>
        <w:pStyle w:val="ListBullet"/>
      </w:pPr>
      <w:r>
        <w:rPr>
          <w:rFonts w:ascii="Calibri" w:hAnsi="Calibri"/>
          <w:b w:val="0"/>
          <w:i w:val="0"/>
          <w:color w:val="172033"/>
          <w:sz w:val="22"/>
        </w:rPr>
        <w:t>Maintain phone/email consent state, purpose/channel/scope, source, timestamp, revocation, and evidence. Contact eligibility is evaluated immediately before every manual or automated attempt.</w:t>
      </w:r>
    </w:p>
    <w:p>
      <w:pPr>
        <w:pStyle w:val="ListBullet"/>
      </w:pPr>
      <w:r>
        <w:rPr>
          <w:rFonts w:ascii="Calibri" w:hAnsi="Calibri"/>
          <w:b w:val="0"/>
          <w:i w:val="0"/>
          <w:color w:val="172033"/>
          <w:sz w:val="22"/>
        </w:rPr>
        <w:t>Inbound SMS STOP and recognized opt-out keywords update suppression state atomically, acknowledge as required, stop active workflows, and prevent future sends/calls under configured policy. Authorized compliance staff need audited correction/reinstatement workflows only when legally supported.</w:t>
      </w:r>
    </w:p>
    <w:p>
      <w:pPr>
        <w:pStyle w:val="ListBullet"/>
      </w:pPr>
      <w:r>
        <w:rPr>
          <w:rFonts w:ascii="Calibri" w:hAnsi="Calibri"/>
          <w:b w:val="0"/>
          <w:i w:val="0"/>
          <w:color w:val="172033"/>
          <w:sz w:val="22"/>
        </w:rPr>
        <w:t>DNC is enforced by server-side gates for calls, SMS, email, campaigns, workflow jobs, imports, and vendor API actions—not only by disabled buttons.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0"/>
          </w:tcPr>
          <w:p>
            <w:pPr>
              <w:spacing w:after="60"/>
            </w:pPr>
            <w:r>
              <w:rPr>
                <w:rFonts w:ascii="Calibri" w:hAnsi="Calibri"/>
                <w:b/>
                <w:i w:val="0"/>
                <w:color w:val="0B2545"/>
                <w:sz w:val="22"/>
              </w:rPr>
              <w:t xml:space="preserve">Compliance note  </w:t>
            </w:r>
            <w:r>
              <w:rPr>
                <w:rFonts w:ascii="Calibri" w:hAnsi="Calibri"/>
                <w:b w:val="0"/>
                <w:i w:val="0"/>
                <w:color w:val="172033"/>
                <w:sz w:val="21"/>
              </w:rPr>
              <w:t>Engineering should provide controls and evidence, but recording consent, TCPA/telemarketing, state DNC, carrier registration, data retention, PCI, and privacy policies require review by qualified legal/compliance counsel before production use.</w:t>
            </w:r>
          </w:p>
        </w:tc>
      </w:tr>
    </w:tbl>
    <w:p>
      <w:pPr>
        <w:pStyle w:val="Heading1"/>
        <w:keepNext/>
      </w:pPr>
      <w:r>
        <w:t>14. CRM Screen Pops and Communication Experience</w:t>
      </w:r>
    </w:p>
    <w:p>
      <w:pPr>
        <w:pStyle w:val="ListBullet"/>
      </w:pPr>
      <w:r>
        <w:rPr>
          <w:rFonts w:ascii="Calibri" w:hAnsi="Calibri"/>
          <w:b w:val="0"/>
          <w:i w:val="0"/>
          <w:color w:val="172033"/>
          <w:sz w:val="22"/>
        </w:rPr>
        <w:t>Inbound identity resolution uses ANI, DNIS, lead/vendor correlation, campaign, and recent interaction context. Resolution rules must handle shared phones, duplicates, and unknown callers without exposing the wrong tenant/customer.</w:t>
      </w:r>
    </w:p>
    <w:p>
      <w:pPr>
        <w:pStyle w:val="ListBullet"/>
      </w:pPr>
      <w:r>
        <w:rPr>
          <w:rFonts w:ascii="Calibri" w:hAnsi="Calibri"/>
          <w:b w:val="0"/>
          <w:i w:val="0"/>
          <w:color w:val="172033"/>
          <w:sz w:val="22"/>
        </w:rPr>
        <w:t>A matched inbound call opens or highlights the authorized lead/contact record, recent timeline, consent evidence, assigned script, previous dispositions, appointment, and relevant QuoteCoach context.</w:t>
      </w:r>
    </w:p>
    <w:p>
      <w:pPr>
        <w:pStyle w:val="ListBullet"/>
      </w:pPr>
      <w:r>
        <w:rPr>
          <w:rFonts w:ascii="Calibri" w:hAnsi="Calibri"/>
          <w:b w:val="0"/>
          <w:i w:val="0"/>
          <w:color w:val="172033"/>
          <w:sz w:val="22"/>
        </w:rPr>
        <w:t>An unmatched caller opens a controlled create/link flow. Never auto-merge records based only on a weak match.</w:t>
      </w:r>
    </w:p>
    <w:p>
      <w:pPr>
        <w:pStyle w:val="ListBullet"/>
      </w:pPr>
      <w:r>
        <w:rPr>
          <w:rFonts w:ascii="Calibri" w:hAnsi="Calibri"/>
          <w:b w:val="0"/>
          <w:i w:val="0"/>
          <w:color w:val="172033"/>
          <w:sz w:val="22"/>
        </w:rPr>
        <w:t>Outbound calls begin from the CRM or softphone and preserve the lead/contact association. Disposition and wrap-up update the CRM timeline and may trigger approved workflows.</w:t>
      </w:r>
    </w:p>
    <w:p>
      <w:pPr>
        <w:pStyle w:val="ListBullet"/>
      </w:pPr>
      <w:r>
        <w:rPr>
          <w:rFonts w:ascii="Calibri" w:hAnsi="Calibri"/>
          <w:b w:val="0"/>
          <w:i w:val="0"/>
          <w:color w:val="172033"/>
          <w:sz w:val="22"/>
        </w:rPr>
        <w:t>Messages and email live in the Inbox; calls live in the dedicated Calls workspace. Both feed the same CRM timeline so the customer history is unified without overloading the messaging UI.</w:t>
      </w:r>
    </w:p>
    <w:p>
      <w:pPr>
        <w:pStyle w:val="Heading1"/>
        <w:keepNext/>
      </w:pPr>
      <w:r>
        <w:t>15. Recruiting CRM — Priority 6</w:t>
      </w:r>
    </w:p>
    <w:p>
      <w:pPr>
        <w:keepLines w:val="0"/>
      </w:pPr>
      <w:r>
        <w:rPr>
          <w:rFonts w:ascii="Calibri" w:hAnsi="Calibri"/>
          <w:b w:val="0"/>
          <w:i w:val="0"/>
          <w:color w:val="172033"/>
          <w:sz w:val="22"/>
        </w:rPr>
        <w:t>The recruiting side mirrors the sales CRM pattern but uses applicant, licensing, contracting, training, and readiness objects rather than consumer sales objects.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0B2545"/>
                <w:sz w:val="17"/>
              </w:rPr>
              <w:t>Suggested stage</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0B2545"/>
                <w:sz w:val="17"/>
              </w:rPr>
              <w:t>Exit criteria / example work</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Applied</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Application captured, source attributed, duplicate check complete</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Reviewed</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Minimum qualifications and location/work eligibility reviewed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Contacted</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Outreach attempted; interview or next step requested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Interview scheduled</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Calendar event confirmed and reminders active</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Interviewed</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Scorecard and disposition complete</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Offer / invited</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Terms or independent-contractor invitation recorded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Licensing</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Resident/nonresident licenses and expirations verified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Contracting</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Carrier appointments, background/E&amp;O/required documents tracked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Training</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Required courses, assessments, and roleplay milestones completed</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Ready to sell</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License, contracting, training, tools, and manager approval gates pass</w:t>
            </w:r>
          </w:p>
        </w:tc>
      </w:tr>
      <w:tr>
        <w:trPr>
          <w:cantSplit/>
        </w:trPr>
        <w:tc>
          <w:tcPr>
            <w:tcW w:type="dxa" w:w="2200"/>
            <w:tcMar>
              <w:top w:w="80" w:type="dxa"/>
              <w:start w:w="120" w:type="dxa"/>
              <w:bottom w:w="80" w:type="dxa"/>
              <w:end w:w="120" w:type="dxa"/>
            </w:tcMar>
            <w:vAlign w:val="center"/>
          </w:tcPr>
          <w:p>
            <w:pPr>
              <w:spacing w:after="0"/>
            </w:pPr>
            <w:r>
              <w:rPr>
                <w:rFonts w:ascii="Calibri" w:hAnsi="Calibri"/>
                <w:b w:val="0"/>
                <w:i w:val="0"/>
                <w:color w:val="172033"/>
                <w:sz w:val="17"/>
              </w:rPr>
              <w:t>Active / not proceeding</w:t>
            </w:r>
          </w:p>
        </w:tc>
        <w:tc>
          <w:tcPr>
            <w:tcW w:type="dxa" w:w="7160"/>
            <w:tcMar>
              <w:top w:w="80" w:type="dxa"/>
              <w:start w:w="120" w:type="dxa"/>
              <w:bottom w:w="80" w:type="dxa"/>
              <w:end w:w="120" w:type="dxa"/>
            </w:tcMar>
            <w:vAlign w:val="center"/>
          </w:tcPr>
          <w:p>
            <w:pPr>
              <w:spacing w:after="0"/>
            </w:pPr>
            <w:r>
              <w:rPr>
                <w:rFonts w:ascii="Calibri" w:hAnsi="Calibri"/>
                <w:b w:val="0"/>
                <w:i w:val="0"/>
                <w:color w:val="172033"/>
                <w:sz w:val="17"/>
              </w:rPr>
              <w:t>Handoff to workforce/agent record or closed reason</w:t>
            </w:r>
          </w:p>
        </w:tc>
      </w:tr>
    </w:tbl>
    <w:p>
      <w:pPr>
        <w:pStyle w:val="ListBullet"/>
      </w:pPr>
      <w:r>
        <w:rPr>
          <w:rFonts w:ascii="Calibri" w:hAnsi="Calibri"/>
          <w:b w:val="0"/>
          <w:i w:val="0"/>
          <w:color w:val="172033"/>
          <w:sz w:val="22"/>
        </w:rPr>
        <w:t>Recruiting workflows, tasks, email/SMS templates, calendar scheduling, document collection, scorecards, stage aging, source conversion, and recruiter reporting.</w:t>
      </w:r>
    </w:p>
    <w:p>
      <w:pPr>
        <w:pStyle w:val="ListBullet"/>
      </w:pPr>
      <w:r>
        <w:rPr>
          <w:rFonts w:ascii="Calibri" w:hAnsi="Calibri"/>
          <w:b w:val="0"/>
          <w:i w:val="0"/>
          <w:color w:val="172033"/>
          <w:sz w:val="22"/>
        </w:rPr>
        <w:t>Promotion from applicant to agent creates/links the platform identity without duplicating sensitive data and preserves the full audit trail.</w:t>
      </w:r>
    </w:p>
    <w:p>
      <w:pPr>
        <w:pStyle w:val="ListBullet"/>
      </w:pPr>
      <w:r>
        <w:rPr>
          <w:rFonts w:ascii="Calibri" w:hAnsi="Calibri"/>
          <w:b w:val="0"/>
          <w:i w:val="0"/>
          <w:color w:val="172033"/>
          <w:sz w:val="22"/>
        </w:rPr>
        <w:t>Licensing and contracting expirations become eligibility gates and renewal tasks.</w:t>
      </w:r>
    </w:p>
    <w:p>
      <w:pPr>
        <w:pStyle w:val="Heading1"/>
        <w:keepNext/>
      </w:pPr>
      <w:r>
        <w:t>16. TelesalesOS Assistant — Priority 7</w:t>
      </w:r>
    </w:p>
    <w:p>
      <w:pPr>
        <w:keepLines w:val="0"/>
      </w:pPr>
      <w:r>
        <w:rPr>
          <w:rFonts w:ascii="Calibri" w:hAnsi="Calibri"/>
          <w:b w:val="0"/>
          <w:i w:val="0"/>
          <w:color w:val="172033"/>
          <w:sz w:val="22"/>
        </w:rPr>
        <w:t>The in-product AI Help Desk answers platform questions, retrieves approved agency resources, guides users through workflows, and escalates unresolved issues. It uses OpenAI with retrieval over approved, tenant-scoped content.</w:t>
      </w:r>
    </w:p>
    <w:p>
      <w:pPr>
        <w:pStyle w:val="ListBullet"/>
      </w:pPr>
      <w:r>
        <w:rPr>
          <w:rFonts w:ascii="Calibri" w:hAnsi="Calibri"/>
          <w:b w:val="0"/>
          <w:i w:val="0"/>
          <w:color w:val="172033"/>
          <w:sz w:val="22"/>
        </w:rPr>
        <w:t>Tenant-aware retrieval: platform documentation is global; agency policies/resources are isolated and permission-filtered before retrieval.</w:t>
      </w:r>
    </w:p>
    <w:p>
      <w:pPr>
        <w:pStyle w:val="ListBullet"/>
      </w:pPr>
      <w:r>
        <w:rPr>
          <w:rFonts w:ascii="Calibri" w:hAnsi="Calibri"/>
          <w:b w:val="0"/>
          <w:i w:val="0"/>
          <w:color w:val="172033"/>
          <w:sz w:val="22"/>
        </w:rPr>
        <w:t>Answer with citations/links to the source resource and disclose uncertainty. Do not invent policy, carrier rules, or compliance advice.</w:t>
      </w:r>
    </w:p>
    <w:p>
      <w:pPr>
        <w:pStyle w:val="ListBullet"/>
      </w:pPr>
      <w:r>
        <w:rPr>
          <w:rFonts w:ascii="Calibri" w:hAnsi="Calibri"/>
          <w:b w:val="0"/>
          <w:i w:val="0"/>
          <w:color w:val="172033"/>
          <w:sz w:val="22"/>
        </w:rPr>
        <w:t>Collect feedback, unresolved topics, conversation metadata, and escalation details without unnecessarily retaining sensitive customer data.</w:t>
      </w:r>
    </w:p>
    <w:p>
      <w:pPr>
        <w:pStyle w:val="ListBullet"/>
      </w:pPr>
      <w:r>
        <w:rPr>
          <w:rFonts w:ascii="Calibri" w:hAnsi="Calibri"/>
          <w:b w:val="0"/>
          <w:i w:val="0"/>
          <w:color w:val="172033"/>
          <w:sz w:val="22"/>
        </w:rPr>
        <w:t>Admin knowledge publishing requires versioning, review, expiration, and re-indexing. Deleted or revoked content must stop appearing.</w:t>
      </w:r>
    </w:p>
    <w:p>
      <w:pPr>
        <w:pStyle w:val="ListBullet"/>
      </w:pPr>
      <w:r>
        <w:rPr>
          <w:rFonts w:ascii="Calibri" w:hAnsi="Calibri"/>
          <w:b w:val="0"/>
          <w:i w:val="0"/>
          <w:color w:val="172033"/>
          <w:sz w:val="22"/>
        </w:rPr>
        <w:t>Tool actions, if added later, require explicit confirmation, narrow scopes, and audit; phase one should focus on read-only assistance.</w:t>
      </w:r>
    </w:p>
    <w:p>
      <w:pPr>
        <w:pStyle w:val="Heading1"/>
        <w:keepNext/>
      </w:pPr>
      <w:r>
        <w:t>17. Community, Announcements, and Leaderboards — Priority 8</w:t>
      </w:r>
    </w:p>
    <w:p>
      <w:pPr>
        <w:pStyle w:val="ListBullet"/>
      </w:pPr>
      <w:r>
        <w:rPr>
          <w:rFonts w:ascii="Calibri" w:hAnsi="Calibri"/>
          <w:b w:val="0"/>
          <w:i w:val="0"/>
          <w:color w:val="172033"/>
          <w:sz w:val="22"/>
        </w:rPr>
        <w:t>Agency and team announcements with audience targeting, pinning, acknowledgement, scheduling, expiration, and attachments.</w:t>
      </w:r>
    </w:p>
    <w:p>
      <w:pPr>
        <w:pStyle w:val="ListBullet"/>
      </w:pPr>
      <w:r>
        <w:rPr>
          <w:rFonts w:ascii="Calibri" w:hAnsi="Calibri"/>
          <w:b w:val="0"/>
          <w:i w:val="0"/>
          <w:color w:val="172033"/>
          <w:sz w:val="22"/>
        </w:rPr>
        <w:t>Community posts/comments/reactions with moderation, reporting, access scope, and acceptable-use controls.</w:t>
      </w:r>
    </w:p>
    <w:p>
      <w:pPr>
        <w:pStyle w:val="ListBullet"/>
      </w:pPr>
      <w:r>
        <w:rPr>
          <w:rFonts w:ascii="Calibri" w:hAnsi="Calibri"/>
          <w:b w:val="0"/>
          <w:i w:val="0"/>
          <w:color w:val="172033"/>
          <w:sz w:val="22"/>
        </w:rPr>
        <w:t>Leaderboards for approved metrics such as activity, appointments, placed premium, quality, training, and retention; metric definitions and time windows must be transparent.</w:t>
      </w:r>
    </w:p>
    <w:p>
      <w:pPr>
        <w:pStyle w:val="ListBullet"/>
      </w:pPr>
      <w:r>
        <w:rPr>
          <w:rFonts w:ascii="Calibri" w:hAnsi="Calibri"/>
          <w:b w:val="0"/>
          <w:i w:val="0"/>
          <w:color w:val="172033"/>
          <w:sz w:val="22"/>
        </w:rPr>
        <w:t>Privacy/fairness controls: tenant/team scope, opt-outs where required, minimum activity thresholds, corrections, and no exposure of sensitive customer information.</w:t>
      </w:r>
    </w:p>
    <w:p>
      <w:pPr>
        <w:pStyle w:val="Heading1"/>
        <w:keepNext/>
      </w:pPr>
      <w:r>
        <w:t>18. Real-Time AI Call Coaching — Priority 9</w:t>
      </w:r>
    </w:p>
    <w:p>
      <w:pPr>
        <w:keepLines w:val="0"/>
      </w:pPr>
      <w:r>
        <w:rPr>
          <w:rFonts w:ascii="Calibri" w:hAnsi="Calibri"/>
          <w:b w:val="0"/>
          <w:i w:val="0"/>
          <w:color w:val="172033"/>
          <w:sz w:val="22"/>
        </w:rPr>
        <w:t>Real-time coaching is intentionally later than the core CRM, training, QuoteCoach, billing, and contact-center foundation. When implemented, the system streams approved live audio/transcripts to an OpenAI-based coaching service and presents low-latency, concise prompts to the agent.</w:t>
      </w:r>
    </w:p>
    <w:p>
      <w:pPr>
        <w:pStyle w:val="ListBullet"/>
      </w:pPr>
      <w:r>
        <w:rPr>
          <w:rFonts w:ascii="Calibri" w:hAnsi="Calibri"/>
          <w:b w:val="0"/>
          <w:i w:val="0"/>
          <w:color w:val="172033"/>
          <w:sz w:val="22"/>
        </w:rPr>
        <w:t>Admins upload/version scripts, rebuttals, required disclosures, product paths, quote triggers, and next-step playbooks.</w:t>
      </w:r>
    </w:p>
    <w:p>
      <w:pPr>
        <w:pStyle w:val="ListBullet"/>
      </w:pPr>
      <w:r>
        <w:rPr>
          <w:rFonts w:ascii="Calibri" w:hAnsi="Calibri"/>
          <w:b w:val="0"/>
          <w:i w:val="0"/>
          <w:color w:val="172033"/>
          <w:sz w:val="22"/>
        </w:rPr>
        <w:t>Coach detects conversation stage and approved cues, then suggests what to say or do next—for example ask a required question, address an objection, open QuoteCoach, or schedule a follow-up.</w:t>
      </w:r>
    </w:p>
    <w:p>
      <w:pPr>
        <w:pStyle w:val="ListBullet"/>
      </w:pPr>
      <w:r>
        <w:rPr>
          <w:rFonts w:ascii="Calibri" w:hAnsi="Calibri"/>
          <w:b w:val="0"/>
          <w:i w:val="0"/>
          <w:color w:val="172033"/>
          <w:sz w:val="22"/>
        </w:rPr>
        <w:t>Suggestions are advisory; the agent remains responsible. Required disclosures should be visually distinct and completion tracked where lawful.</w:t>
      </w:r>
    </w:p>
    <w:p>
      <w:pPr>
        <w:pStyle w:val="ListBullet"/>
      </w:pPr>
      <w:r>
        <w:rPr>
          <w:rFonts w:ascii="Calibri" w:hAnsi="Calibri"/>
          <w:b w:val="0"/>
          <w:i w:val="0"/>
          <w:color w:val="172033"/>
          <w:sz w:val="22"/>
        </w:rPr>
        <w:t>Do not send more audio/transcript data than necessary. Define consent, retention, redaction, vendor data-use, and access policy before launch.</w:t>
      </w:r>
    </w:p>
    <w:p>
      <w:pPr>
        <w:pStyle w:val="ListBullet"/>
      </w:pPr>
      <w:r>
        <w:rPr>
          <w:rFonts w:ascii="Calibri" w:hAnsi="Calibri"/>
          <w:b w:val="0"/>
          <w:i w:val="0"/>
          <w:color w:val="172033"/>
          <w:sz w:val="22"/>
        </w:rPr>
        <w:t>Measure suggestion latency, acceptance/dismissal, script adherence, disclosure coverage, and outcome lift without using protected traits.</w:t>
      </w:r>
    </w:p>
    <w:p>
      <w:pPr>
        <w:pStyle w:val="Heading1"/>
        <w:keepNext/>
      </w:pPr>
      <w:r>
        <w:t>19. Target Technical Architecture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after="0"/>
            </w:pPr>
            <w:r>
              <w:rPr>
                <w:rFonts w:ascii="Calibri" w:hAnsi="Calibri"/>
                <w:b/>
                <w:i w:val="0"/>
                <w:color w:val="0B2545"/>
                <w:sz w:val="17"/>
              </w:rPr>
              <w:t>Layer</w:t>
            </w:r>
          </w:p>
        </w:tc>
        <w:tc>
          <w:tcPr>
            <w:tcW w:type="dxa" w:w="7260"/>
            <w:shd w:fill="E8EEF5"/>
            <w:tcMar>
              <w:top w:w="80" w:type="dxa"/>
              <w:start w:w="120" w:type="dxa"/>
              <w:bottom w:w="80" w:type="dxa"/>
              <w:end w:w="120" w:type="dxa"/>
            </w:tcMar>
            <w:vAlign w:val="center"/>
          </w:tcPr>
          <w:p>
            <w:pPr>
              <w:spacing w:after="0"/>
            </w:pPr>
            <w:r>
              <w:rPr>
                <w:rFonts w:ascii="Calibri" w:hAnsi="Calibri"/>
                <w:b/>
                <w:i w:val="0"/>
                <w:color w:val="0B2545"/>
                <w:sz w:val="17"/>
              </w:rPr>
              <w:t>Preferred technology / pattern</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Web application</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Next.js App Router, React, TypeScript, Tailwind, shadcn/ui, Vercel</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Database/auth</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Supabase Postgres, Auth, RLS, Realtime where appropriate</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Backend services</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Typed Node.js/TypeScript services; durable jobs and outbox consumers outside request-only serverless paths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Voice service</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Persistent TypeScript service using Telnyx Call Control/WebRTC/conference APIs; authenticated WebSocket/SSE to app</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Ephemeral routing</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Managed Redis recommendation required; TTL presence, queues, reservations, locks, policy cache</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Files/recordings</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S3, KMS, Object Lock, signed playback, integrity verification</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Billing</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Stripe subscriptions, Checkout/Portal, signed webhooks, entitlements, usage ledger</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AI</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OpenAI for help desk and later live coaching; retrieval and strict tool/data boundaries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Email/calendar</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OAuth integrations through selected providers/aggregation layer after security and cost review</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7"/>
              </w:rPr>
              <w:t>CI/CD</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7"/>
              </w:rPr>
              <w:t>GitHub pull requests and Actions; Vercel previews; staged migrations; protected production promotion</w:t>
            </w:r>
          </w:p>
        </w:tc>
      </w:tr>
    </w:tbl>
    <w:p>
      <w:pPr>
        <w:pStyle w:val="Heading2"/>
        <w:keepNext/>
      </w:pPr>
      <w:r>
        <w:t>19.1 Environment model</w:t>
      </w:r>
    </w:p>
    <w:p>
      <w:pPr>
        <w:pStyle w:val="ListBullet"/>
      </w:pPr>
      <w:r>
        <w:rPr>
          <w:rFonts w:ascii="Calibri" w:hAnsi="Calibri"/>
          <w:b w:val="0"/>
          <w:i w:val="0"/>
          <w:color w:val="172033"/>
          <w:sz w:val="22"/>
        </w:rPr>
        <w:t>Separate local, staging, and production projects/resources. Do not point preview deployments at production data.</w:t>
      </w:r>
    </w:p>
    <w:p>
      <w:pPr>
        <w:pStyle w:val="ListBullet"/>
      </w:pPr>
      <w:r>
        <w:rPr>
          <w:rFonts w:ascii="Calibri" w:hAnsi="Calibri"/>
          <w:b w:val="0"/>
          <w:i w:val="0"/>
          <w:color w:val="172033"/>
          <w:sz w:val="22"/>
        </w:rPr>
        <w:t>Secrets live in approved secret stores/environment variables, never repository files or screenshots. Rotate on personnel change or exposure.</w:t>
      </w:r>
    </w:p>
    <w:p>
      <w:pPr>
        <w:pStyle w:val="ListBullet"/>
      </w:pPr>
      <w:r>
        <w:rPr>
          <w:rFonts w:ascii="Calibri" w:hAnsi="Calibri"/>
          <w:b w:val="0"/>
          <w:i w:val="0"/>
          <w:color w:val="172033"/>
          <w:sz w:val="22"/>
        </w:rPr>
        <w:t>Database changes use reviewed forward migrations, seed/test fixtures, compatibility sequencing, backups, and a documented rollback/forward-fix plan.</w:t>
      </w:r>
    </w:p>
    <w:p>
      <w:pPr>
        <w:pStyle w:val="ListBullet"/>
      </w:pPr>
      <w:r>
        <w:rPr>
          <w:rFonts w:ascii="Calibri" w:hAnsi="Calibri"/>
          <w:b w:val="0"/>
          <w:i w:val="0"/>
          <w:color w:val="172033"/>
          <w:sz w:val="22"/>
        </w:rPr>
        <w:t>Use feature flags and organization-scoped rollout for incomplete/high-risk integrations.</w:t>
      </w:r>
    </w:p>
    <w:p>
      <w:pPr>
        <w:pStyle w:val="ListBullet"/>
      </w:pPr>
      <w:r>
        <w:rPr>
          <w:rFonts w:ascii="Calibri" w:hAnsi="Calibri"/>
          <w:b w:val="0"/>
          <w:i w:val="0"/>
          <w:color w:val="172033"/>
          <w:sz w:val="22"/>
        </w:rPr>
        <w:t>Single primary U.S. region initially (us-east-1), multi-AZ and designed for later regional failover. Configure primary/failover Telnyx webhook endpoints; full active-active is not required initially.</w:t>
      </w:r>
    </w:p>
    <w:p>
      <w:pPr>
        <w:pStyle w:val="Heading1"/>
        <w:keepNext/>
      </w:pPr>
      <w:r>
        <w:t>20. Core Data Domains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0B2545"/>
                <w:sz w:val="17"/>
              </w:rPr>
              <w:t>Domain</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0B2545"/>
                <w:sz w:val="17"/>
              </w:rPr>
              <w:t>Representative entities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Identity/tenant</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organizations, users, memberships, roles, teams, permissions, brand_settings, feature_flags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CRM</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leads, contacts, pipelines, stages, assignments, activities, tasks, appointments, notes, tags, custom_fields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Consent/comms</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contact_points, consent_evidence, dnc_entries, conversations, messages, templates, workflows, enrollments, delivery_events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Voice</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phone_numbers, queues, campaigns, calls, call_legs, call_events, queue_entries, reservations, dispositions, supervisor_sessions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Routing</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policies, versions, rules, conditions, actions, skills, licenses, authorizations, rollups, decisions, candidate evaluations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Recordings</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recordings, archive_attempts, object_versions, retention, legal_holds, playback_audit</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QuoteCoach</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carriers, products, rate_versions, rate_rows, rule_versions, questions, citations, quote_sessions, quote_results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Training/recruiting</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courses, lessons, enrollments, assessments, applicants, recruiting_stages, licenses, appointments, readiness_checks</w:t>
            </w:r>
          </w:p>
        </w:tc>
      </w:tr>
      <w:tr>
        <w:trPr>
          <w:cantSplit/>
        </w:trPr>
        <w:tc>
          <w:tcPr>
            <w:tcW w:type="dxa" w:w="1900"/>
            <w:tcMar>
              <w:top w:w="80" w:type="dxa"/>
              <w:start w:w="120" w:type="dxa"/>
              <w:bottom w:w="80" w:type="dxa"/>
              <w:end w:w="120" w:type="dxa"/>
            </w:tcMar>
            <w:vAlign w:val="center"/>
          </w:tcPr>
          <w:p>
            <w:pPr>
              <w:spacing w:after="0"/>
            </w:pPr>
            <w:r>
              <w:rPr>
                <w:rFonts w:ascii="Calibri" w:hAnsi="Calibri"/>
                <w:b w:val="0"/>
                <w:i w:val="0"/>
                <w:color w:val="172033"/>
                <w:sz w:val="17"/>
              </w:rPr>
              <w:t>Billing</w:t>
            </w:r>
          </w:p>
        </w:tc>
        <w:tc>
          <w:tcPr>
            <w:tcW w:type="dxa" w:w="7460"/>
            <w:tcMar>
              <w:top w:w="80" w:type="dxa"/>
              <w:start w:w="120" w:type="dxa"/>
              <w:bottom w:w="80" w:type="dxa"/>
              <w:end w:w="120" w:type="dxa"/>
            </w:tcMar>
            <w:vAlign w:val="center"/>
          </w:tcPr>
          <w:p>
            <w:pPr>
              <w:spacing w:after="0"/>
            </w:pPr>
            <w:r>
              <w:rPr>
                <w:rFonts w:ascii="Calibri" w:hAnsi="Calibri"/>
                <w:b w:val="0"/>
                <w:i w:val="0"/>
                <w:color w:val="172033"/>
                <w:sz w:val="17"/>
              </w:rPr>
              <w:t>customers, subscriptions, entitlements, invoices, usage_events, telco_ledger, adjustments</w:t>
            </w:r>
          </w:p>
        </w:tc>
      </w:tr>
    </w:tbl>
    <w:p>
      <w:r>
        <w:br w:type="page"/>
      </w:r>
    </w:p>
    <w:p>
      <w:pPr>
        <w:pStyle w:val="Heading1"/>
        <w:keepNext/>
      </w:pPr>
      <w:r>
        <w:t>21. What We Need From the Full-Stack Developer</w:t>
      </w:r>
    </w:p>
    <w:p>
      <w:pPr>
        <w:keepLines w:val="0"/>
      </w:pPr>
      <w:r>
        <w:rPr>
          <w:rFonts w:ascii="Calibri" w:hAnsi="Calibri"/>
          <w:b w:val="0"/>
          <w:i w:val="0"/>
          <w:color w:val="172033"/>
          <w:sz w:val="22"/>
        </w:rPr>
        <w:t>We are looking for a developer who can own the product application while working closely with a telephony specialist. The role is broader than building screens and narrower than independently inventing a carrier-grade voice engine.</w:t>
      </w:r>
    </w:p>
    <w:p>
      <w:pPr>
        <w:pStyle w:val="Heading2"/>
        <w:keepNext/>
      </w:pPr>
      <w:r>
        <w:t>21.1 Immediate responsibilities</w:t>
      </w:r>
    </w:p>
    <w:p>
      <w:pPr>
        <w:pStyle w:val="ListBullet"/>
      </w:pPr>
      <w:r>
        <w:rPr>
          <w:rFonts w:ascii="Calibri" w:hAnsi="Calibri"/>
          <w:b w:val="0"/>
          <w:i w:val="0"/>
          <w:color w:val="172033"/>
          <w:sz w:val="22"/>
        </w:rPr>
        <w:t>Audit the existing GitHub repository, Supabase projects, Vercel configuration, CI, migrations, and environment variables. Produce a short gap/risk report before major changes.</w:t>
      </w:r>
    </w:p>
    <w:p>
      <w:pPr>
        <w:pStyle w:val="ListBullet"/>
      </w:pPr>
      <w:r>
        <w:rPr>
          <w:rFonts w:ascii="Calibri" w:hAnsi="Calibri"/>
          <w:b w:val="0"/>
          <w:i w:val="0"/>
          <w:color w:val="172033"/>
          <w:sz w:val="22"/>
        </w:rPr>
        <w:t>Create the modular application architecture, coding conventions, typed boundaries, error model, and environment validation.</w:t>
      </w:r>
    </w:p>
    <w:p>
      <w:pPr>
        <w:pStyle w:val="ListBullet"/>
      </w:pPr>
      <w:r>
        <w:rPr>
          <w:rFonts w:ascii="Calibri" w:hAnsi="Calibri"/>
          <w:b w:val="0"/>
          <w:i w:val="0"/>
          <w:color w:val="172033"/>
          <w:sz w:val="22"/>
        </w:rPr>
        <w:t>Implement multi-tenancy, RBAC, RLS, audit, invitations, organization settings, branding, and entitlements with automated isolation tests.</w:t>
      </w:r>
    </w:p>
    <w:p>
      <w:pPr>
        <w:pStyle w:val="ListBullet"/>
      </w:pPr>
      <w:r>
        <w:rPr>
          <w:rFonts w:ascii="Calibri" w:hAnsi="Calibri"/>
          <w:b w:val="0"/>
          <w:i w:val="0"/>
          <w:color w:val="172033"/>
          <w:sz w:val="22"/>
        </w:rPr>
        <w:t>Deliver the Sales CRM foundation and reusable UI components, then Training, QuoteCoach integration, and Stripe according to priority.</w:t>
      </w:r>
    </w:p>
    <w:p>
      <w:pPr>
        <w:pStyle w:val="ListBullet"/>
      </w:pPr>
      <w:r>
        <w:rPr>
          <w:rFonts w:ascii="Calibri" w:hAnsi="Calibri"/>
          <w:b w:val="0"/>
          <w:i w:val="0"/>
          <w:color w:val="172033"/>
          <w:sz w:val="22"/>
        </w:rPr>
        <w:t>Own Postgres schema/migrations, server APIs, background jobs, webhook patterns, normalized provider adapters, and reliable frontend state.</w:t>
      </w:r>
    </w:p>
    <w:p>
      <w:pPr>
        <w:pStyle w:val="ListBullet"/>
      </w:pPr>
      <w:r>
        <w:rPr>
          <w:rFonts w:ascii="Calibri" w:hAnsi="Calibri"/>
          <w:b w:val="0"/>
          <w:i w:val="0"/>
          <w:color w:val="172033"/>
          <w:sz w:val="22"/>
        </w:rPr>
        <w:t>Integrate the contact-center UI and CRM with the persistent voice service: agent presence, queue status, commands, screen pops, call timeline, dispositions, recordings, call log, and supervisor console.</w:t>
      </w:r>
    </w:p>
    <w:p>
      <w:pPr>
        <w:pStyle w:val="ListBullet"/>
      </w:pPr>
      <w:r>
        <w:rPr>
          <w:rFonts w:ascii="Calibri" w:hAnsi="Calibri"/>
          <w:b w:val="0"/>
          <w:i w:val="0"/>
          <w:color w:val="172033"/>
          <w:sz w:val="22"/>
        </w:rPr>
        <w:t>Implement Telnyx messaging workflows and DNC enforcement with the telephony specialist; integrate TrustedForm/Jornaya evidence and vendor ingestion.</w:t>
      </w:r>
    </w:p>
    <w:p>
      <w:pPr>
        <w:pStyle w:val="ListBullet"/>
      </w:pPr>
      <w:r>
        <w:rPr>
          <w:rFonts w:ascii="Calibri" w:hAnsi="Calibri"/>
          <w:b w:val="0"/>
          <w:i w:val="0"/>
          <w:color w:val="172033"/>
          <w:sz w:val="22"/>
        </w:rPr>
        <w:t>Build observability, tests, CI gates, deployment documentation, admin runbooks, and handoff materials throughout the project.</w:t>
      </w:r>
    </w:p>
    <w:p>
      <w:pPr>
        <w:pStyle w:val="Heading2"/>
        <w:keepNext/>
      </w:pPr>
      <w:r>
        <w:t>21.2 Work shared with the telephony specialist</w:t>
      </w:r>
    </w:p>
    <w:tbl>
      <w:tblPr>
        <w:tblStyle w:val="TableGrid"/>
        <w:tblW w:type="dxa" w:w="9360"/>
        <w:jc w:val="left"/>
        <w:tblLayout w:type="fixed"/>
        <w:tblLook w:firstColumn="1" w:firstRow="1" w:lastColumn="0" w:lastRow="0" w:noHBand="0" w:noVBand="1" w:val="04A0"/>
        <w:tblInd w:w="120" w:type="dxa"/>
      </w:tblPr>
      <w:tblGrid>
        <w:gridCol w:w="3000"/>
        <w:gridCol w:w="3000"/>
        <w:gridCol w:w="3360"/>
      </w:tblGrid>
      <w:tr>
        <w:trPr>
          <w:tblHeader w:val="true"/>
        </w:trPr>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6"/>
              </w:rPr>
              <w:t>Full-stack lead</w:t>
            </w:r>
          </w:p>
        </w:tc>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6"/>
              </w:rPr>
              <w:t>Telephony specialist</w:t>
            </w:r>
          </w:p>
        </w:tc>
        <w:tc>
          <w:tcPr>
            <w:tcW w:type="dxa" w:w="3360"/>
            <w:shd w:fill="E8EEF5"/>
            <w:tcMar>
              <w:top w:w="80" w:type="dxa"/>
              <w:start w:w="120" w:type="dxa"/>
              <w:bottom w:w="80" w:type="dxa"/>
              <w:end w:w="120" w:type="dxa"/>
            </w:tcMar>
            <w:vAlign w:val="center"/>
          </w:tcPr>
          <w:p>
            <w:pPr>
              <w:spacing w:after="0"/>
            </w:pPr>
            <w:r>
              <w:rPr>
                <w:rFonts w:ascii="Calibri" w:hAnsi="Calibri"/>
                <w:b/>
                <w:i w:val="0"/>
                <w:color w:val="0B2545"/>
                <w:sz w:val="16"/>
              </w:rPr>
              <w:t>Joint ownership</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172033"/>
                <w:sz w:val="16"/>
              </w:rPr>
              <w:t>CRM, UX, APIs, Postgres, RLS, billing, workflows, app events</w:t>
            </w:r>
          </w:p>
        </w:tc>
        <w:tc>
          <w:tcPr>
            <w:tcW w:type="dxa" w:w="3000"/>
            <w:tcMar>
              <w:top w:w="80" w:type="dxa"/>
              <w:start w:w="120" w:type="dxa"/>
              <w:bottom w:w="80" w:type="dxa"/>
              <w:end w:w="120" w:type="dxa"/>
            </w:tcMar>
            <w:vAlign w:val="center"/>
          </w:tcPr>
          <w:p>
            <w:pPr>
              <w:spacing w:after="0"/>
            </w:pPr>
            <w:r>
              <w:rPr>
                <w:rFonts w:ascii="Calibri" w:hAnsi="Calibri"/>
                <w:b w:val="0"/>
                <w:i w:val="0"/>
                <w:color w:val="172033"/>
                <w:sz w:val="16"/>
              </w:rPr>
              <w:t>Telnyx account/apps/numbers, Call Control, WebRTC/media, conferences, call commands</w:t>
            </w:r>
          </w:p>
        </w:tc>
        <w:tc>
          <w:tcPr>
            <w:tcW w:type="dxa" w:w="3360"/>
            <w:tcMar>
              <w:top w:w="80" w:type="dxa"/>
              <w:start w:w="120" w:type="dxa"/>
              <w:bottom w:w="80" w:type="dxa"/>
              <w:end w:w="120" w:type="dxa"/>
            </w:tcMar>
            <w:vAlign w:val="center"/>
          </w:tcPr>
          <w:p>
            <w:pPr>
              <w:spacing w:after="0"/>
            </w:pPr>
            <w:r>
              <w:rPr>
                <w:rFonts w:ascii="Calibri" w:hAnsi="Calibri"/>
                <w:b w:val="0"/>
                <w:i w:val="0"/>
                <w:color w:val="172033"/>
                <w:sz w:val="16"/>
              </w:rPr>
              <w:t>Call model, presence, screen pops, normalized events, permissions</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172033"/>
                <w:sz w:val="16"/>
              </w:rPr>
              <w:t>Dashboards, logs, filters, audit UI, archive metadata</w:t>
            </w:r>
          </w:p>
        </w:tc>
        <w:tc>
          <w:tcPr>
            <w:tcW w:type="dxa" w:w="3000"/>
            <w:tcMar>
              <w:top w:w="80" w:type="dxa"/>
              <w:start w:w="120" w:type="dxa"/>
              <w:bottom w:w="80" w:type="dxa"/>
              <w:end w:w="120" w:type="dxa"/>
            </w:tcMar>
            <w:vAlign w:val="center"/>
          </w:tcPr>
          <w:p>
            <w:pPr>
              <w:spacing w:after="0"/>
            </w:pPr>
            <w:r>
              <w:rPr>
                <w:rFonts w:ascii="Calibri" w:hAnsi="Calibri"/>
                <w:b w:val="0"/>
                <w:i w:val="0"/>
                <w:color w:val="172033"/>
                <w:sz w:val="16"/>
              </w:rPr>
              <w:t>Webhook details, recordings, SIP/provider behavior, supervisor media modes</w:t>
            </w:r>
          </w:p>
        </w:tc>
        <w:tc>
          <w:tcPr>
            <w:tcW w:type="dxa" w:w="3360"/>
            <w:tcMar>
              <w:top w:w="80" w:type="dxa"/>
              <w:start w:w="120" w:type="dxa"/>
              <w:bottom w:w="80" w:type="dxa"/>
              <w:end w:w="120" w:type="dxa"/>
            </w:tcMar>
            <w:vAlign w:val="center"/>
          </w:tcPr>
          <w:p>
            <w:pPr>
              <w:spacing w:after="0"/>
            </w:pPr>
            <w:r>
              <w:rPr>
                <w:rFonts w:ascii="Calibri" w:hAnsi="Calibri"/>
                <w:b w:val="0"/>
                <w:i w:val="0"/>
                <w:color w:val="172033"/>
                <w:sz w:val="16"/>
              </w:rPr>
              <w:t>Recording pipeline, incident behavior, reconciliation</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172033"/>
                <w:sz w:val="16"/>
              </w:rPr>
              <w:t>Routing admin UI, policy versioning, analytics</w:t>
            </w:r>
          </w:p>
        </w:tc>
        <w:tc>
          <w:tcPr>
            <w:tcW w:type="dxa" w:w="3000"/>
            <w:tcMar>
              <w:top w:w="80" w:type="dxa"/>
              <w:start w:w="120" w:type="dxa"/>
              <w:bottom w:w="80" w:type="dxa"/>
              <w:end w:w="120" w:type="dxa"/>
            </w:tcMar>
            <w:vAlign w:val="center"/>
          </w:tcPr>
          <w:p>
            <w:pPr>
              <w:spacing w:after="0"/>
            </w:pPr>
            <w:r>
              <w:rPr>
                <w:rFonts w:ascii="Calibri" w:hAnsi="Calibri"/>
                <w:b w:val="0"/>
                <w:i w:val="0"/>
                <w:color w:val="172033"/>
                <w:sz w:val="16"/>
              </w:rPr>
              <w:t>Low-latency orchestration and queue execution</w:t>
            </w:r>
          </w:p>
        </w:tc>
        <w:tc>
          <w:tcPr>
            <w:tcW w:type="dxa" w:w="3360"/>
            <w:tcMar>
              <w:top w:w="80" w:type="dxa"/>
              <w:start w:w="120" w:type="dxa"/>
              <w:bottom w:w="80" w:type="dxa"/>
              <w:end w:w="120" w:type="dxa"/>
            </w:tcMar>
            <w:vAlign w:val="center"/>
          </w:tcPr>
          <w:p>
            <w:pPr>
              <w:spacing w:after="0"/>
            </w:pPr>
            <w:r>
              <w:rPr>
                <w:rFonts w:ascii="Calibri" w:hAnsi="Calibri"/>
                <w:b w:val="0"/>
                <w:i w:val="0"/>
                <w:color w:val="172033"/>
                <w:sz w:val="16"/>
              </w:rPr>
              <w:t>Eligibility/scoring contract, Redis locks, load tests</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60"/>
            </w:pPr>
            <w:r>
              <w:rPr>
                <w:rFonts w:ascii="Calibri" w:hAnsi="Calibri"/>
                <w:b/>
                <w:i w:val="0"/>
                <w:color w:val="0B2545"/>
                <w:sz w:val="22"/>
              </w:rPr>
              <w:t xml:space="preserve">Expected collaboration  </w:t>
            </w:r>
            <w:r>
              <w:rPr>
                <w:rFonts w:ascii="Calibri" w:hAnsi="Calibri"/>
                <w:b w:val="0"/>
                <w:i w:val="0"/>
                <w:color w:val="172033"/>
                <w:sz w:val="21"/>
              </w:rPr>
              <w:t>Architecture decisions must be written and reviewed. Provider-specific mechanics should be isolated behind typed adapters. Neither developer should create a second source of truth for call state, presence, permissions, or routing configuration.</w:t>
            </w:r>
          </w:p>
        </w:tc>
      </w:tr>
    </w:tbl>
    <w:p>
      <w:pPr>
        <w:pStyle w:val="Heading2"/>
        <w:keepNext/>
      </w:pPr>
      <w:r>
        <w:t>21.3 Deliverables expected with each feature</w:t>
      </w:r>
    </w:p>
    <w:p>
      <w:pPr>
        <w:pStyle w:val="ListBullet"/>
      </w:pPr>
      <w:r>
        <w:rPr>
          <w:rFonts w:ascii="Calibri" w:hAnsi="Calibri"/>
          <w:b w:val="0"/>
          <w:i w:val="0"/>
          <w:color w:val="172033"/>
          <w:sz w:val="22"/>
        </w:rPr>
        <w:t>User story and acceptance criteria; UX states for loading, empty, error, permission denied, and degraded provider status.</w:t>
      </w:r>
    </w:p>
    <w:p>
      <w:pPr>
        <w:pStyle w:val="ListBullet"/>
      </w:pPr>
      <w:r>
        <w:rPr>
          <w:rFonts w:ascii="Calibri" w:hAnsi="Calibri"/>
          <w:b w:val="0"/>
          <w:i w:val="0"/>
          <w:color w:val="172033"/>
          <w:sz w:val="22"/>
        </w:rPr>
        <w:t>Migration/schema/RLS and rollback or forward-fix notes.</w:t>
      </w:r>
    </w:p>
    <w:p>
      <w:pPr>
        <w:pStyle w:val="ListBullet"/>
      </w:pPr>
      <w:r>
        <w:rPr>
          <w:rFonts w:ascii="Calibri" w:hAnsi="Calibri"/>
          <w:b w:val="0"/>
          <w:i w:val="0"/>
          <w:color w:val="172033"/>
          <w:sz w:val="22"/>
        </w:rPr>
        <w:t>Typed API/event contracts with authorization and idempotency.</w:t>
      </w:r>
    </w:p>
    <w:p>
      <w:pPr>
        <w:pStyle w:val="ListBullet"/>
      </w:pPr>
      <w:r>
        <w:rPr>
          <w:rFonts w:ascii="Calibri" w:hAnsi="Calibri"/>
          <w:b w:val="0"/>
          <w:i w:val="0"/>
          <w:color w:val="172033"/>
          <w:sz w:val="22"/>
        </w:rPr>
        <w:t>Unit, integration, RLS/tenant isolation, webhook replay, and critical-path end-to-end tests.</w:t>
      </w:r>
    </w:p>
    <w:p>
      <w:pPr>
        <w:pStyle w:val="ListBullet"/>
      </w:pPr>
      <w:r>
        <w:rPr>
          <w:rFonts w:ascii="Calibri" w:hAnsi="Calibri"/>
          <w:b w:val="0"/>
          <w:i w:val="0"/>
          <w:color w:val="172033"/>
          <w:sz w:val="22"/>
        </w:rPr>
        <w:t>Observability: logs, metrics, alerts, dashboards, correlation IDs, and runbook.</w:t>
      </w:r>
    </w:p>
    <w:p>
      <w:pPr>
        <w:pStyle w:val="ListBullet"/>
      </w:pPr>
      <w:r>
        <w:rPr>
          <w:rFonts w:ascii="Calibri" w:hAnsi="Calibri"/>
          <w:b w:val="0"/>
          <w:i w:val="0"/>
          <w:color w:val="172033"/>
          <w:sz w:val="22"/>
        </w:rPr>
        <w:t>Pull request with screenshots/preview, test evidence, security notes, and documentation updates.</w:t>
      </w:r>
    </w:p>
    <w:p>
      <w:pPr>
        <w:pStyle w:val="Heading1"/>
        <w:keepNext/>
      </w:pPr>
      <w:r>
        <w:t>22. Proposed Delivery Sequence</w:t>
      </w:r>
    </w:p>
    <w:tbl>
      <w:tblPr>
        <w:tblStyle w:val="TableGrid"/>
        <w:tblW w:type="dxa" w:w="9360"/>
        <w:jc w:val="left"/>
        <w:tblLayout w:type="fixed"/>
        <w:tblLook w:firstColumn="1" w:firstRow="1" w:lastColumn="0" w:lastRow="0" w:noHBand="0" w:noVBand="1" w:val="04A0"/>
        <w:tblInd w:w="120" w:type="dxa"/>
      </w:tblPr>
      <w:tblGrid>
        <w:gridCol w:w="1500"/>
        <w:gridCol w:w="2500"/>
        <w:gridCol w:w="5360"/>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b/>
                <w:i w:val="0"/>
                <w:color w:val="0B2545"/>
                <w:sz w:val="17"/>
              </w:rPr>
              <w:t>Phase</w:t>
            </w:r>
          </w:p>
        </w:tc>
        <w:tc>
          <w:tcPr>
            <w:tcW w:type="dxa" w:w="2500"/>
            <w:shd w:fill="E8EEF5"/>
            <w:tcMar>
              <w:top w:w="80" w:type="dxa"/>
              <w:start w:w="120" w:type="dxa"/>
              <w:bottom w:w="80" w:type="dxa"/>
              <w:end w:w="120" w:type="dxa"/>
            </w:tcMar>
            <w:vAlign w:val="center"/>
          </w:tcPr>
          <w:p>
            <w:pPr>
              <w:spacing w:after="0"/>
            </w:pPr>
            <w:r>
              <w:rPr>
                <w:rFonts w:ascii="Calibri" w:hAnsi="Calibri"/>
                <w:b/>
                <w:i w:val="0"/>
                <w:color w:val="0B2545"/>
                <w:sz w:val="17"/>
              </w:rPr>
              <w:t>Primary outcome</w:t>
            </w:r>
          </w:p>
        </w:tc>
        <w:tc>
          <w:tcPr>
            <w:tcW w:type="dxa" w:w="5360"/>
            <w:shd w:fill="E8EEF5"/>
            <w:tcMar>
              <w:top w:w="80" w:type="dxa"/>
              <w:start w:w="120" w:type="dxa"/>
              <w:bottom w:w="80" w:type="dxa"/>
              <w:end w:w="120" w:type="dxa"/>
            </w:tcMar>
            <w:vAlign w:val="center"/>
          </w:tcPr>
          <w:p>
            <w:pPr>
              <w:spacing w:after="0"/>
            </w:pPr>
            <w:r>
              <w:rPr>
                <w:rFonts w:ascii="Calibri" w:hAnsi="Calibri"/>
                <w:b/>
                <w:i w:val="0"/>
                <w:color w:val="0B2545"/>
                <w:sz w:val="17"/>
              </w:rPr>
              <w:t>Representative exit criteria</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0 — Discovery</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Verified architecture and backlog</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Repo/env audit; data model; ADRs; threat model; estimates; Telnyx/Redis/AWS/Stripe/OpenAI provisioning list</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1 — Foundation</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Secure multi-tenant shell</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Auth, orgs, roles, RLS, audit, branding, entitlements, CI, monitoring, staging</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2 — Sales CRM</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Usable lead-to-appointment workflow</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Lead ingestion, pipeline, tasks, timeline, scripts, basic workflow engine, messaging/calendar interfaces</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3 — Training</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Agent onboarding and eligibility</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Courses, resources, quizzes, progress, assignments, required-training gates</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4 — QuoteCoach</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Auditable initial quote workflow</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3–5 carriers/products, versioned rates/rules, deterministic tests, citations, UNKNOWN behavior</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5 — Billing</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Paid product access</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$150/month, trial, portal, webhooks, entitlements, telco billing classes</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6 — Contact center POC</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Risk retired end to end</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Inbound/outbound browser calls, presence, one queue, reservation, normalized events, screen pop, test recording, monitor/whisper/barge</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7 — Contact center production</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Operational Sales/Retention center</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Queues/campaigns/routing, supervisor console, archive, 7-year log, consent/DNC, reconciliation, load/security tests</w:t>
            </w:r>
          </w:p>
        </w:tc>
      </w:tr>
      <w:tr>
        <w:trPr>
          <w:cantSplit/>
        </w:trPr>
        <w:tc>
          <w:tcPr>
            <w:tcW w:type="dxa" w:w="1500"/>
            <w:tcMar>
              <w:top w:w="80" w:type="dxa"/>
              <w:start w:w="120" w:type="dxa"/>
              <w:bottom w:w="80" w:type="dxa"/>
              <w:end w:w="120" w:type="dxa"/>
            </w:tcMar>
            <w:vAlign w:val="center"/>
          </w:tcPr>
          <w:p>
            <w:pPr>
              <w:spacing w:after="0"/>
            </w:pPr>
            <w:r>
              <w:rPr>
                <w:rFonts w:ascii="Calibri" w:hAnsi="Calibri"/>
                <w:b w:val="0"/>
                <w:i w:val="0"/>
                <w:color w:val="172033"/>
                <w:sz w:val="17"/>
              </w:rPr>
              <w:t>8+ — Expansion</w:t>
            </w:r>
          </w:p>
        </w:tc>
        <w:tc>
          <w:tcPr>
            <w:tcW w:type="dxa" w:w="2500"/>
            <w:tcMar>
              <w:top w:w="80" w:type="dxa"/>
              <w:start w:w="120" w:type="dxa"/>
              <w:bottom w:w="80" w:type="dxa"/>
              <w:end w:w="120" w:type="dxa"/>
            </w:tcMar>
            <w:vAlign w:val="center"/>
          </w:tcPr>
          <w:p>
            <w:pPr>
              <w:spacing w:after="0"/>
            </w:pPr>
            <w:r>
              <w:rPr>
                <w:rFonts w:ascii="Calibri" w:hAnsi="Calibri"/>
                <w:b w:val="0"/>
                <w:i w:val="0"/>
                <w:color w:val="172033"/>
                <w:sz w:val="17"/>
              </w:rPr>
              <w:t>Broader agency OS</w:t>
            </w:r>
          </w:p>
        </w:tc>
        <w:tc>
          <w:tcPr>
            <w:tcW w:type="dxa" w:w="5360"/>
            <w:tcMar>
              <w:top w:w="80" w:type="dxa"/>
              <w:start w:w="120" w:type="dxa"/>
              <w:bottom w:w="80" w:type="dxa"/>
              <w:end w:w="120" w:type="dxa"/>
            </w:tcMar>
            <w:vAlign w:val="center"/>
          </w:tcPr>
          <w:p>
            <w:pPr>
              <w:spacing w:after="0"/>
            </w:pPr>
            <w:r>
              <w:rPr>
                <w:rFonts w:ascii="Calibri" w:hAnsi="Calibri"/>
                <w:b w:val="0"/>
                <w:i w:val="0"/>
                <w:color w:val="172033"/>
                <w:sz w:val="17"/>
              </w:rPr>
              <w:t>Recruiting, AI Help Desk, community, coaching, analytics and remaining modules</w:t>
            </w:r>
          </w:p>
        </w:tc>
      </w:tr>
    </w:tbl>
    <w:p>
      <w:pPr>
        <w:pStyle w:val="Heading1"/>
        <w:keepNext/>
      </w:pPr>
      <w:r>
        <w:t>23. Contact Center Proof-of-Concept Acceptance</w:t>
      </w:r>
    </w:p>
    <w:p>
      <w:pPr>
        <w:pStyle w:val="ListBullet"/>
      </w:pPr>
      <w:r>
        <w:rPr>
          <w:rFonts w:ascii="Calibri" w:hAnsi="Calibri"/>
          <w:b w:val="0"/>
          <w:i w:val="0"/>
          <w:color w:val="172033"/>
          <w:sz w:val="22"/>
        </w:rPr>
        <w:t>Documented architecture, sequence diagrams, state machine, security model, data model, event contracts, and deployment topology.</w:t>
      </w:r>
    </w:p>
    <w:p>
      <w:pPr>
        <w:pStyle w:val="ListBullet"/>
      </w:pPr>
      <w:r>
        <w:rPr>
          <w:rFonts w:ascii="Calibri" w:hAnsi="Calibri"/>
          <w:b w:val="0"/>
          <w:i w:val="0"/>
          <w:color w:val="172033"/>
          <w:sz w:val="22"/>
        </w:rPr>
        <w:t>Staging Telnyx setup; secure WebRTC token path; inbound and outbound browser call demonstration.</w:t>
      </w:r>
    </w:p>
    <w:p>
      <w:pPr>
        <w:pStyle w:val="ListBullet"/>
      </w:pPr>
      <w:r>
        <w:rPr>
          <w:rFonts w:ascii="Calibri" w:hAnsi="Calibri"/>
          <w:b w:val="0"/>
          <w:i w:val="0"/>
          <w:color w:val="172033"/>
          <w:sz w:val="22"/>
        </w:rPr>
        <w:t>Server-authoritative presence, basic Sales queue, atomic agent reservation, timeout/retry, and release.</w:t>
      </w:r>
    </w:p>
    <w:p>
      <w:pPr>
        <w:pStyle w:val="ListBullet"/>
      </w:pPr>
      <w:r>
        <w:rPr>
          <w:rFonts w:ascii="Calibri" w:hAnsi="Calibri"/>
          <w:b w:val="0"/>
          <w:i w:val="0"/>
          <w:color w:val="172033"/>
          <w:sz w:val="22"/>
        </w:rPr>
        <w:t>Verified/idempotent webhooks with raw durable event journal and correlated call/leg identifiers.</w:t>
      </w:r>
    </w:p>
    <w:p>
      <w:pPr>
        <w:pStyle w:val="ListBullet"/>
      </w:pPr>
      <w:r>
        <w:rPr>
          <w:rFonts w:ascii="Calibri" w:hAnsi="Calibri"/>
          <w:b w:val="0"/>
          <w:i w:val="0"/>
          <w:color w:val="172033"/>
          <w:sz w:val="22"/>
        </w:rPr>
        <w:t>Normalized live dashboard and CRM screen pop with no cross-tenant exposure.</w:t>
      </w:r>
    </w:p>
    <w:p>
      <w:pPr>
        <w:pStyle w:val="ListBullet"/>
      </w:pPr>
      <w:r>
        <w:rPr>
          <w:rFonts w:ascii="Calibri" w:hAnsi="Calibri"/>
          <w:b w:val="0"/>
          <w:i w:val="0"/>
          <w:color w:val="172033"/>
          <w:sz w:val="22"/>
        </w:rPr>
        <w:t>One recording completes provider finalization, verified download, hash, and safe archive proof; production Object Lock remains gated pending policy approval.</w:t>
      </w:r>
    </w:p>
    <w:p>
      <w:pPr>
        <w:pStyle w:val="ListBullet"/>
      </w:pPr>
      <w:r>
        <w:rPr>
          <w:rFonts w:ascii="Calibri" w:hAnsi="Calibri"/>
          <w:b w:val="0"/>
          <w:i w:val="0"/>
          <w:color w:val="172033"/>
          <w:sz w:val="22"/>
        </w:rPr>
        <w:t>Monitor, whisper, and barge proof with server authorization and audit.</w:t>
      </w:r>
    </w:p>
    <w:p>
      <w:pPr>
        <w:pStyle w:val="ListBullet"/>
      </w:pPr>
      <w:r>
        <w:rPr>
          <w:rFonts w:ascii="Calibri" w:hAnsi="Calibri"/>
          <w:b w:val="0"/>
          <w:i w:val="0"/>
          <w:color w:val="172033"/>
          <w:sz w:val="22"/>
        </w:rPr>
        <w:t>Written risks, service recommendations, expected provider costs, security gaps, load targets, and production plan.</w:t>
      </w:r>
    </w:p>
    <w:p>
      <w:pPr>
        <w:pStyle w:val="Heading1"/>
        <w:keepNext/>
      </w:pPr>
      <w:r>
        <w:t>24. Engineering Definition of Done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after="0"/>
            </w:pPr>
            <w:r>
              <w:rPr>
                <w:rFonts w:ascii="Calibri" w:hAnsi="Calibri"/>
                <w:b/>
                <w:i w:val="0"/>
                <w:color w:val="0B2545"/>
                <w:sz w:val="18"/>
              </w:rPr>
              <w:t>Quality gate</w:t>
            </w:r>
          </w:p>
        </w:tc>
        <w:tc>
          <w:tcPr>
            <w:tcW w:type="dxa" w:w="7260"/>
            <w:shd w:fill="E8EEF5"/>
            <w:tcMar>
              <w:top w:w="80" w:type="dxa"/>
              <w:start w:w="120" w:type="dxa"/>
              <w:bottom w:w="80" w:type="dxa"/>
              <w:end w:w="120" w:type="dxa"/>
            </w:tcMar>
            <w:vAlign w:val="center"/>
          </w:tcPr>
          <w:p>
            <w:pPr>
              <w:spacing w:after="0"/>
            </w:pPr>
            <w:r>
              <w:rPr>
                <w:rFonts w:ascii="Calibri" w:hAnsi="Calibri"/>
                <w:b/>
                <w:i w:val="0"/>
                <w:color w:val="0B2545"/>
                <w:sz w:val="18"/>
              </w:rPr>
              <w:t>Minimum standard</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Correctness</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Acceptance criteria pass; deterministic state transitions; no known duplicate side effects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Security</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Server authorization, RLS, least privilege, signed webhooks, secret hygiene, dependency review</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Tenancy</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Automated positive/negative tests prove tenant/team/role boundaries</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Reliability</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Retries, idempotency, timeouts, DLQ/replay, reconciliation, graceful degraded state</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Performance</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Defined latency/concurrency targets and representative load tests for queues, events, logs, and search</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Observability</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Correlation IDs, structured logs, metrics, alerts, dashboards, incident ownership</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UX/accessibility</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Responsive keyboard-accessible states; clear errors and provider outage messaging</w:t>
            </w:r>
          </w:p>
        </w:tc>
      </w:tr>
      <w:tr>
        <w:trPr>
          <w:cantSplit/>
        </w:trPr>
        <w:tc>
          <w:tcPr>
            <w:tcW w:type="dxa" w:w="2100"/>
            <w:tcMar>
              <w:top w:w="80" w:type="dxa"/>
              <w:start w:w="120" w:type="dxa"/>
              <w:bottom w:w="80" w:type="dxa"/>
              <w:end w:w="120" w:type="dxa"/>
            </w:tcMar>
            <w:vAlign w:val="center"/>
          </w:tcPr>
          <w:p>
            <w:pPr>
              <w:spacing w:after="0"/>
            </w:pPr>
            <w:r>
              <w:rPr>
                <w:rFonts w:ascii="Calibri" w:hAnsi="Calibri"/>
                <w:b w:val="0"/>
                <w:i w:val="0"/>
                <w:color w:val="172033"/>
                <w:sz w:val="18"/>
              </w:rPr>
              <w:t>Operations</w:t>
            </w:r>
          </w:p>
        </w:tc>
        <w:tc>
          <w:tcPr>
            <w:tcW w:type="dxa" w:w="7260"/>
            <w:tcMar>
              <w:top w:w="80" w:type="dxa"/>
              <w:start w:w="120" w:type="dxa"/>
              <w:bottom w:w="80" w:type="dxa"/>
              <w:end w:w="120" w:type="dxa"/>
            </w:tcMar>
            <w:vAlign w:val="center"/>
          </w:tcPr>
          <w:p>
            <w:pPr>
              <w:spacing w:after="0"/>
            </w:pPr>
            <w:r>
              <w:rPr>
                <w:rFonts w:ascii="Calibri" w:hAnsi="Calibri"/>
                <w:b w:val="0"/>
                <w:i w:val="0"/>
                <w:color w:val="172033"/>
                <w:sz w:val="18"/>
              </w:rPr>
              <w:t>Migration/deploy/rollback notes, runbook, feature flag, ownership, support path</w:t>
            </w:r>
          </w:p>
        </w:tc>
      </w:tr>
    </w:tbl>
    <w:p>
      <w:pPr>
        <w:pStyle w:val="Heading1"/>
        <w:keepNext/>
      </w:pPr>
      <w:r>
        <w:t>25. Decisions Already Made</w:t>
      </w:r>
    </w:p>
    <w:p>
      <w:pPr>
        <w:pStyle w:val="ListBullet"/>
      </w:pPr>
      <w:r>
        <w:rPr>
          <w:rFonts w:ascii="Calibri" w:hAnsi="Calibri"/>
          <w:b w:val="0"/>
          <w:i w:val="0"/>
          <w:color w:val="172033"/>
          <w:sz w:val="22"/>
        </w:rPr>
        <w:t>Product name: TelesalesOS.</w:t>
      </w:r>
    </w:p>
    <w:p>
      <w:pPr>
        <w:pStyle w:val="ListBullet"/>
      </w:pPr>
      <w:r>
        <w:rPr>
          <w:rFonts w:ascii="Calibri" w:hAnsi="Calibri"/>
          <w:b w:val="0"/>
          <w:i w:val="0"/>
          <w:color w:val="172033"/>
          <w:sz w:val="22"/>
        </w:rPr>
        <w:t>Core web/data stack: Next.js/TypeScript, Vercel, Supabase/Postgres, GitHub.</w:t>
      </w:r>
    </w:p>
    <w:p>
      <w:pPr>
        <w:pStyle w:val="ListBullet"/>
      </w:pPr>
      <w:r>
        <w:rPr>
          <w:rFonts w:ascii="Calibri" w:hAnsi="Calibri"/>
          <w:b w:val="0"/>
          <w:i w:val="0"/>
          <w:color w:val="172033"/>
          <w:sz w:val="22"/>
        </w:rPr>
        <w:t>Primary communications provider: Telnyx.</w:t>
      </w:r>
    </w:p>
    <w:p>
      <w:pPr>
        <w:pStyle w:val="ListBullet"/>
      </w:pPr>
      <w:r>
        <w:rPr>
          <w:rFonts w:ascii="Calibri" w:hAnsi="Calibri"/>
          <w:b w:val="0"/>
          <w:i w:val="0"/>
          <w:color w:val="172033"/>
          <w:sz w:val="22"/>
        </w:rPr>
        <w:t>Calls have a dedicated workspace; calls also appear on the CRM timeline and may appear in the unified activity feed.</w:t>
      </w:r>
    </w:p>
    <w:p>
      <w:pPr>
        <w:pStyle w:val="ListBullet"/>
      </w:pPr>
      <w:r>
        <w:rPr>
          <w:rFonts w:ascii="Calibri" w:hAnsi="Calibri"/>
          <w:b w:val="0"/>
          <w:i w:val="0"/>
          <w:color w:val="172033"/>
          <w:sz w:val="22"/>
        </w:rPr>
        <w:t>Postgres is authoritative for durable routing configuration; Redis is ephemeral and rebuildable.</w:t>
      </w:r>
    </w:p>
    <w:p>
      <w:pPr>
        <w:pStyle w:val="ListBullet"/>
      </w:pPr>
      <w:r>
        <w:rPr>
          <w:rFonts w:ascii="Calibri" w:hAnsi="Calibri"/>
          <w:b w:val="0"/>
          <w:i w:val="0"/>
          <w:color w:val="172033"/>
          <w:sz w:val="22"/>
        </w:rPr>
        <w:t>State licensing is a hard routing gate; best-agent scoring occurs only after eligibility.</w:t>
      </w:r>
    </w:p>
    <w:p>
      <w:pPr>
        <w:pStyle w:val="ListBullet"/>
      </w:pPr>
      <w:r>
        <w:rPr>
          <w:rFonts w:ascii="Calibri" w:hAnsi="Calibri"/>
          <w:b w:val="0"/>
          <w:i w:val="0"/>
          <w:color w:val="172033"/>
          <w:sz w:val="22"/>
        </w:rPr>
        <w:t>Existing queued calls retain their entry policy version by default.</w:t>
      </w:r>
    </w:p>
    <w:p>
      <w:pPr>
        <w:pStyle w:val="ListBullet"/>
      </w:pPr>
      <w:r>
        <w:rPr>
          <w:rFonts w:ascii="Calibri" w:hAnsi="Calibri"/>
          <w:b w:val="0"/>
          <w:i w:val="0"/>
          <w:color w:val="172033"/>
          <w:sz w:val="22"/>
        </w:rPr>
        <w:t>Call recordings are retained for seven years with immutable archive controls and searchable logs.</w:t>
      </w:r>
    </w:p>
    <w:p>
      <w:pPr>
        <w:pStyle w:val="ListBullet"/>
      </w:pPr>
      <w:r>
        <w:rPr>
          <w:rFonts w:ascii="Calibri" w:hAnsi="Calibri"/>
          <w:b w:val="0"/>
          <w:i w:val="0"/>
          <w:color w:val="172033"/>
          <w:sz w:val="22"/>
        </w:rPr>
        <w:t>Single primary U.S. region initially, designed for later failover.</w:t>
      </w:r>
    </w:p>
    <w:p>
      <w:pPr>
        <w:pStyle w:val="ListBullet"/>
      </w:pPr>
      <w:r>
        <w:rPr>
          <w:rFonts w:ascii="Calibri" w:hAnsi="Calibri"/>
          <w:b w:val="0"/>
          <w:i w:val="0"/>
          <w:color w:val="172033"/>
          <w:sz w:val="22"/>
        </w:rPr>
        <w:t>QuoteCoach uses deterministic Postgres/rules for underwriting and rates; OpenAI does not invent either.</w:t>
      </w:r>
    </w:p>
    <w:p>
      <w:pPr>
        <w:pStyle w:val="ListBullet"/>
      </w:pPr>
      <w:r>
        <w:rPr>
          <w:rFonts w:ascii="Calibri" w:hAnsi="Calibri"/>
          <w:b w:val="0"/>
          <w:i w:val="0"/>
          <w:color w:val="172033"/>
          <w:sz w:val="22"/>
        </w:rPr>
        <w:t>Real-time coaching is a later priority, not the first contact-center milestone.</w:t>
      </w:r>
    </w:p>
    <w:p>
      <w:pPr>
        <w:pStyle w:val="Heading1"/>
        <w:keepNext/>
      </w:pPr>
      <w:r>
        <w:t>26. Items the Developer Must Validate or Recommend</w:t>
      </w:r>
    </w:p>
    <w:p>
      <w:pPr>
        <w:pStyle w:val="ListBullet"/>
      </w:pPr>
      <w:r>
        <w:rPr>
          <w:rFonts w:ascii="Calibri" w:hAnsi="Calibri"/>
          <w:b w:val="0"/>
          <w:i w:val="0"/>
          <w:color w:val="172033"/>
          <w:sz w:val="22"/>
        </w:rPr>
        <w:t>Telnyx account ownership, business verification, number inventory, messaging registration, SIP/WebRTC application, Call Control application, webhook endpoints, and recording settings.</w:t>
      </w:r>
    </w:p>
    <w:p>
      <w:pPr>
        <w:pStyle w:val="ListBullet"/>
      </w:pPr>
      <w:r>
        <w:rPr>
          <w:rFonts w:ascii="Calibri" w:hAnsi="Calibri"/>
          <w:b w:val="0"/>
          <w:i w:val="0"/>
          <w:color w:val="172033"/>
          <w:sz w:val="22"/>
        </w:rPr>
        <w:t>Managed Redis provider and topology (for example Redis Cloud, AWS ElastiCache, or another approved service) based on latency, durability expectations, networking, cost, and operations.</w:t>
      </w:r>
    </w:p>
    <w:p>
      <w:pPr>
        <w:pStyle w:val="ListBullet"/>
      </w:pPr>
      <w:r>
        <w:rPr>
          <w:rFonts w:ascii="Calibri" w:hAnsi="Calibri"/>
          <w:b w:val="0"/>
          <w:i w:val="0"/>
          <w:color w:val="172033"/>
          <w:sz w:val="22"/>
        </w:rPr>
        <w:t>Persistent voice-service hosting choice and deployment/security model.</w:t>
      </w:r>
    </w:p>
    <w:p>
      <w:pPr>
        <w:pStyle w:val="ListBullet"/>
      </w:pPr>
      <w:r>
        <w:rPr>
          <w:rFonts w:ascii="Calibri" w:hAnsi="Calibri"/>
          <w:b w:val="0"/>
          <w:i w:val="0"/>
          <w:color w:val="172033"/>
          <w:sz w:val="22"/>
        </w:rPr>
        <w:t>Email/calendar provider strategy, OAuth scopes, multi-provider support, and token storage.</w:t>
      </w:r>
    </w:p>
    <w:p>
      <w:pPr>
        <w:pStyle w:val="ListBullet"/>
      </w:pPr>
      <w:r>
        <w:rPr>
          <w:rFonts w:ascii="Calibri" w:hAnsi="Calibri"/>
          <w:b w:val="0"/>
          <w:i w:val="0"/>
          <w:color w:val="172033"/>
          <w:sz w:val="22"/>
        </w:rPr>
        <w:t>Final S3/KMS/Object Lock retention design with legal/compliance approval and restore/playback procedure.</w:t>
      </w:r>
    </w:p>
    <w:p>
      <w:pPr>
        <w:pStyle w:val="ListBullet"/>
      </w:pPr>
      <w:r>
        <w:rPr>
          <w:rFonts w:ascii="Calibri" w:hAnsi="Calibri"/>
          <w:b w:val="0"/>
          <w:i w:val="0"/>
          <w:color w:val="172033"/>
          <w:sz w:val="22"/>
        </w:rPr>
        <w:t>Carrier campaign/number registration, emergency calling exclusions, call recording announcements, TCPA/DNC policy, and jurisdiction-specific consent with counsel.</w:t>
      </w:r>
    </w:p>
    <w:p>
      <w:pPr>
        <w:pStyle w:val="ListBullet"/>
      </w:pPr>
      <w:r>
        <w:rPr>
          <w:rFonts w:ascii="Calibri" w:hAnsi="Calibri"/>
          <w:b w:val="0"/>
          <w:i w:val="0"/>
          <w:color w:val="172033"/>
          <w:sz w:val="22"/>
        </w:rPr>
        <w:t>Stripe pricing/tax/refund/grace/cancellation and agent telco-allocation policies with finance.</w:t>
      </w:r>
    </w:p>
    <w:p>
      <w:pPr>
        <w:pStyle w:val="ListBullet"/>
      </w:pPr>
      <w:r>
        <w:rPr>
          <w:rFonts w:ascii="Calibri" w:hAnsi="Calibri"/>
          <w:b w:val="0"/>
          <w:i w:val="0"/>
          <w:color w:val="172033"/>
          <w:sz w:val="22"/>
        </w:rPr>
        <w:t>OpenAI model/data-retention configuration, redaction, tenant retrieval design, and cost controls.</w:t>
      </w:r>
    </w:p>
    <w:p>
      <w:pPr>
        <w:pStyle w:val="ListBullet"/>
      </w:pPr>
      <w:r>
        <w:rPr>
          <w:rFonts w:ascii="Calibri" w:hAnsi="Calibri"/>
          <w:b w:val="0"/>
          <w:i w:val="0"/>
          <w:color w:val="172033"/>
          <w:sz w:val="22"/>
        </w:rPr>
        <w:t>Nonfunctional targets: concurrent agents/calls, calls per minute, queue depth, message volume, dashboard latency, retention search performance, uptime, RTO/RPO, and budget.</w:t>
      </w:r>
    </w:p>
    <w:p>
      <w:pPr>
        <w:pStyle w:val="Heading1"/>
        <w:keepNext/>
      </w:pPr>
      <w:r>
        <w:t>27. First-Week Developer Checklist</w:t>
      </w:r>
    </w:p>
    <w:p>
      <w:pPr>
        <w:pStyle w:val="ListNumber"/>
      </w:pPr>
      <w:r>
        <w:rPr>
          <w:rFonts w:ascii="Calibri" w:hAnsi="Calibri"/>
          <w:b w:val="0"/>
          <w:i w:val="0"/>
          <w:color w:val="172033"/>
          <w:sz w:val="22"/>
        </w:rPr>
        <w:t>Clone the repository, run the app/tests locally, and confirm the default branch/PR workflow.</w:t>
      </w:r>
    </w:p>
    <w:p>
      <w:pPr>
        <w:pStyle w:val="ListNumber"/>
      </w:pPr>
      <w:r>
        <w:rPr>
          <w:rFonts w:ascii="Calibri" w:hAnsi="Calibri"/>
          <w:b w:val="0"/>
          <w:i w:val="0"/>
          <w:color w:val="172033"/>
          <w:sz w:val="22"/>
        </w:rPr>
        <w:t>Inventory staging/production resources and secrets without copying secrets into documentation or chat.</w:t>
      </w:r>
    </w:p>
    <w:p>
      <w:pPr>
        <w:pStyle w:val="ListNumber"/>
      </w:pPr>
      <w:r>
        <w:rPr>
          <w:rFonts w:ascii="Calibri" w:hAnsi="Calibri"/>
          <w:b w:val="0"/>
          <w:i w:val="0"/>
          <w:color w:val="172033"/>
          <w:sz w:val="22"/>
        </w:rPr>
        <w:t>Map the current schema/migrations/RLS and verify database linkage for each environment.</w:t>
      </w:r>
    </w:p>
    <w:p>
      <w:pPr>
        <w:pStyle w:val="ListNumber"/>
      </w:pPr>
      <w:r>
        <w:rPr>
          <w:rFonts w:ascii="Calibri" w:hAnsi="Calibri"/>
          <w:b w:val="0"/>
          <w:i w:val="0"/>
          <w:color w:val="172033"/>
          <w:sz w:val="22"/>
        </w:rPr>
        <w:t>Write an architecture gap report and proposed module/service boundaries.</w:t>
      </w:r>
    </w:p>
    <w:p>
      <w:pPr>
        <w:pStyle w:val="ListNumber"/>
      </w:pPr>
      <w:r>
        <w:rPr>
          <w:rFonts w:ascii="Calibri" w:hAnsi="Calibri"/>
          <w:b w:val="0"/>
          <w:i w:val="0"/>
          <w:color w:val="172033"/>
          <w:sz w:val="22"/>
        </w:rPr>
        <w:t>Create ADRs for tenancy/authorization, background jobs/outbox, voice service hosting, Redis, event transport, and recording archive.</w:t>
      </w:r>
    </w:p>
    <w:p>
      <w:pPr>
        <w:pStyle w:val="ListNumber"/>
      </w:pPr>
      <w:r>
        <w:rPr>
          <w:rFonts w:ascii="Calibri" w:hAnsi="Calibri"/>
          <w:b w:val="0"/>
          <w:i w:val="0"/>
          <w:color w:val="172033"/>
          <w:sz w:val="22"/>
        </w:rPr>
        <w:t>Convert this brief into epics, dependencies, acceptance criteria, risk register, and estimates.</w:t>
      </w:r>
    </w:p>
    <w:p>
      <w:pPr>
        <w:pStyle w:val="ListNumber"/>
      </w:pPr>
      <w:r>
        <w:rPr>
          <w:rFonts w:ascii="Calibri" w:hAnsi="Calibri"/>
          <w:b w:val="0"/>
          <w:i w:val="0"/>
          <w:color w:val="172033"/>
          <w:sz w:val="22"/>
        </w:rPr>
        <w:t>Define a working cadence with the telephony specialist and agree on typed contracts before implementing the live call UI.</w:t>
      </w:r>
    </w:p>
    <w:p>
      <w:pPr>
        <w:pStyle w:val="ListNumber"/>
      </w:pPr>
      <w:r>
        <w:rPr>
          <w:rFonts w:ascii="Calibri" w:hAnsi="Calibri"/>
          <w:b w:val="0"/>
          <w:i w:val="0"/>
          <w:color w:val="172033"/>
          <w:sz w:val="22"/>
        </w:rPr>
        <w:t>Demonstrate the foundation plan and contact-center POC plan before production credentials or traffic are introduced.</w:t>
      </w:r>
    </w:p>
    <w:p>
      <w:pPr>
        <w:pStyle w:val="Heading1"/>
        <w:keepNext/>
      </w:pPr>
      <w:r>
        <w:t>28. Reference Links</w:t>
      </w:r>
    </w:p>
    <w:p>
      <w:pPr>
        <w:pStyle w:val="ListBullet"/>
      </w:pPr>
      <w:hyperlink r:id="rId11">
        <w:r>
          <w:rPr>
            <w:color w:val="2E74B5"/>
            <w:u w:val="single"/>
          </w:rPr>
          <w:t>TelesalesOS deployment</w:t>
        </w:r>
      </w:hyperlink>
    </w:p>
    <w:p>
      <w:pPr>
        <w:pStyle w:val="ListBullet"/>
      </w:pPr>
      <w:hyperlink r:id="rId12">
        <w:r>
          <w:rPr>
            <w:color w:val="2E74B5"/>
            <w:u w:val="single"/>
          </w:rPr>
          <w:t>Telnyx React WebRTC SDK</w:t>
        </w:r>
      </w:hyperlink>
    </w:p>
    <w:p>
      <w:pPr>
        <w:pStyle w:val="ListBullet"/>
      </w:pPr>
      <w:hyperlink r:id="rId13">
        <w:r>
          <w:rPr>
            <w:color w:val="2E74B5"/>
            <w:u w:val="single"/>
          </w:rPr>
          <w:t>Telnyx Voice API fundamentals</w:t>
        </w:r>
      </w:hyperlink>
    </w:p>
    <w:p>
      <w:pPr>
        <w:pStyle w:val="ListBullet"/>
      </w:pPr>
      <w:hyperlink r:id="rId14">
        <w:r>
          <w:rPr>
            <w:color w:val="2E74B5"/>
            <w:u w:val="single"/>
          </w:rPr>
          <w:t>Telnyx conference commands</w:t>
        </w:r>
      </w:hyperlink>
    </w:p>
    <w:p>
      <w:pPr>
        <w:pStyle w:val="ListBullet"/>
      </w:pPr>
      <w:hyperlink r:id="rId15">
        <w:r>
          <w:rPr>
            <w:color w:val="2E74B5"/>
            <w:u w:val="single"/>
          </w:rPr>
          <w:t>Telnyx media streaming</w:t>
        </w:r>
      </w:hyperlink>
    </w:p>
    <w:p>
      <w:pPr>
        <w:pStyle w:val="ListBullet"/>
      </w:pPr>
      <w:hyperlink r:id="rId16">
        <w:r>
          <w:rPr>
            <w:color w:val="2E74B5"/>
            <w:u w:val="single"/>
          </w:rPr>
          <w:t>Telnyx recording storage</w:t>
        </w:r>
      </w:hyperlink>
    </w:p>
    <w:p>
      <w:pPr>
        <w:pStyle w:val="ListBullet"/>
      </w:pPr>
      <w:hyperlink r:id="rId17">
        <w:r>
          <w:rPr>
            <w:color w:val="2E74B5"/>
            <w:u w:val="single"/>
          </w:rPr>
          <w:t>Supabase Row Level Security</w:t>
        </w:r>
      </w:hyperlink>
    </w:p>
    <w:p>
      <w:pPr>
        <w:pStyle w:val="ListBullet"/>
      </w:pPr>
      <w:hyperlink r:id="rId18">
        <w:r>
          <w:rPr>
            <w:color w:val="2E74B5"/>
            <w:u w:val="single"/>
          </w:rPr>
          <w:t>Supabase database replication</w:t>
        </w:r>
      </w:hyperlink>
    </w:p>
    <w:p>
      <w:pPr>
        <w:pStyle w:val="ListBullet"/>
      </w:pPr>
      <w:hyperlink r:id="rId19">
        <w:r>
          <w:rPr>
            <w:color w:val="2E74B5"/>
            <w:u w:val="single"/>
          </w:rPr>
          <w:t>AWS S3 Object Lock</w:t>
        </w:r>
      </w:hyperlink>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5F5"/>
          </w:tcPr>
          <w:p>
            <w:pPr>
              <w:spacing w:after="60"/>
            </w:pPr>
            <w:r>
              <w:rPr>
                <w:rFonts w:ascii="Calibri" w:hAnsi="Calibri"/>
                <w:b/>
                <w:i w:val="0"/>
                <w:color w:val="0B2545"/>
                <w:sz w:val="22"/>
              </w:rPr>
              <w:t xml:space="preserve">Final note  </w:t>
            </w:r>
            <w:r>
              <w:rPr>
                <w:rFonts w:ascii="Calibri" w:hAnsi="Calibri"/>
                <w:b w:val="0"/>
                <w:i w:val="0"/>
                <w:color w:val="172033"/>
                <w:sz w:val="21"/>
              </w:rPr>
              <w:t>The full-stack developer should use this document to propose a phased plan and identify assumptions—not to silently reinterpret product requirements. Any change affecting call routing, consent/DNC, recording retention, billing, cross-tenant access, or deterministic quote logic requires written approval.</w:t>
            </w:r>
          </w:p>
        </w:tc>
      </w:tr>
    </w:tbl>
    <w:sectPr w:rsidR="00FC693F" w:rsidRPr="0006063C" w:rsidSect="00034616">
      <w:headerReference w:type="default" r:id="rId9"/>
      <w:footerReference w:type="default" r:id="rId10"/>
      <w:pgSz w:w="12240" w:h="15840"/>
      <w:pgMar w:top="1123"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Confidential — Product &amp; Build Specification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DBE2"/>
      </w:pBdr>
    </w:pPr>
    <w:r>
      <w:rPr>
        <w:rFonts w:ascii="Calibri" w:hAnsi="Calibri"/>
        <w:b/>
        <w:i w:val="0"/>
        <w:color w:val="5F6B7A"/>
        <w:sz w:val="17"/>
      </w:rPr>
      <w:t>TELESALESOS  |  FULL-STACK DEVELOPER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lesalesos.vercel.app" TargetMode="External"/><Relationship Id="rId12" Type="http://schemas.openxmlformats.org/officeDocument/2006/relationships/hyperlink" Target="https://developers.telnyx.com/docs/voice/webrtc/reactsdk" TargetMode="External"/><Relationship Id="rId13" Type="http://schemas.openxmlformats.org/officeDocument/2006/relationships/hyperlink" Target="https://developers.telnyx.com/docs/voice/programmable-voice/voice-api-fundamentals" TargetMode="External"/><Relationship Id="rId14" Type="http://schemas.openxmlformats.org/officeDocument/2006/relationships/hyperlink" Target="https://developers.telnyx.com/api-reference/conference-commands/join-a-conference" TargetMode="External"/><Relationship Id="rId15" Type="http://schemas.openxmlformats.org/officeDocument/2006/relationships/hyperlink" Target="https://developers.telnyx.com/docs/voice/programmable-voice/media-streaming" TargetMode="External"/><Relationship Id="rId16" Type="http://schemas.openxmlformats.org/officeDocument/2006/relationships/hyperlink" Target="https://developers.telnyx.com/docs/voice/programmable-voice/storing-call-recordings" TargetMode="External"/><Relationship Id="rId17" Type="http://schemas.openxmlformats.org/officeDocument/2006/relationships/hyperlink" Target="https://supabase.com/docs/guides/database/postgres/row-level-security" TargetMode="External"/><Relationship Id="rId18" Type="http://schemas.openxmlformats.org/officeDocument/2006/relationships/hyperlink" Target="https://supabase.com/docs/guides/database/replication" TargetMode="External"/><Relationship Id="rId19" Type="http://schemas.openxmlformats.org/officeDocument/2006/relationships/hyperlink" Target="https://docs.aws.amazon.com/AmazonS3/latest/userguide/object-lo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TelesalesOS Full-Stack Developer Product Brief &amp; Contact Center Build Specification</dc:title>
  <dc:subject>Product overview, architecture, contact center requirements, and developer scope</dc:subject>
  <dc:creator>TelesalesOS</dc:creator>
  <cp:keywords>TelesalesOS, CRM, contact center, Telnyx, Supabase, Vercel, QuoteCoach</cp:keywords>
  <dc:description>Definitive developer handoff brief</dc:description>
  <cp:lastModifiedBy/>
  <cp:revision>1</cp:revision>
  <dcterms:created xsi:type="dcterms:W3CDTF">2013-12-23T23:15:00Z</dcterms:created>
  <dcterms:modified xsi:type="dcterms:W3CDTF">2013-12-23T23:15:00Z</dcterms:modified>
  <cp:category/>
</cp:coreProperties>
</file>