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FORGERON</w:t>
      </w:r>
    </w:p>
    <w:p>
      <w:pPr>
        <w:pBdr>
          <w:bottom w:val="single" w:color="D9622B" w:sz="12" w:space="6"/>
        </w:pBdr>
        <w:spacing w:after="24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Workplan chiffré — METI UniPods AI Innovation Programme, Cohort 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Porteur : </w:t>
      </w:r>
      <w:r>
        <w:rPr>
          <w:rFonts w:ascii="Calibri" w:cs="Calibri" w:eastAsia="Calibri" w:hAnsi="Calibri"/>
          <w:sz w:val="20"/>
          <w:szCs w:val="20"/>
        </w:rPr>
        <w:t xml:space="preserve">Lamine SACKO —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sackolamine994@gmail.com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Équipe : </w:t>
      </w:r>
      <w:r>
        <w:rPr>
          <w:rFonts w:ascii="Calibri" w:cs="Calibri" w:eastAsia="Calibri" w:hAnsi="Calibri"/>
          <w:sz w:val="20"/>
          <w:szCs w:val="20"/>
        </w:rPr>
        <w:t xml:space="preserve">Lamine SACKO (fondateur, ingénieur — app / IA / firmware) · Aboubacar DIAMOUTÉNÉ (technicien électronique &amp; assemblage) · poste Business/Commercial ouvert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Institution : </w:t>
      </w:r>
      <w:r>
        <w:rPr>
          <w:rFonts w:ascii="Calibri" w:cs="Calibri" w:eastAsia="Calibri" w:hAnsi="Calibri"/>
          <w:sz w:val="20"/>
          <w:szCs w:val="20"/>
        </w:rPr>
        <w:t xml:space="preserve">ENI-ABT — UniPod Mali, Bamako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Période couverte : </w:t>
      </w:r>
      <w:r>
        <w:rPr>
          <w:rFonts w:ascii="Calibri" w:cs="Calibri" w:eastAsia="Calibri" w:hAnsi="Calibri"/>
          <w:sz w:val="20"/>
          <w:szCs w:val="20"/>
        </w:rPr>
        <w:t xml:space="preserve">26 octobre – 17 décembre 2026 (phase Ethiopian AI Institute + fin du parcours Wadhwani Ignite)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1. Objectif du workplan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Ce plan couvre la période qui suit la sélection en Cohorte 1 (244 retenus sur 670) et qui précède la sélection des 50 solutions invitées au bootcamp d'Addis-Abeba (semaine du 23 novembre 2026). Il avance sur deux pistes en parallèle, conformément à la structure du programme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Piste technique — durcir la couche IA agentique de Forgeron dans le cadre du programme de l'Ethiopian AI Institute (26 oct.–23 nov.).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Piste business — transformer le prototype validé en venture investissable via le parcours Wadhwani Ignite (customer discovery, business model, go-to-market, investment readiness), en s'appuyant sur le pilote Kouratechnique.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Chaque activité est chiffrée pour rester réaliste sur les ressources d'une équipe de 2 personnes, en amorçage.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2. Plan d'action semaine par semaine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3600"/>
        <w:gridCol w:w="1800"/>
      </w:tblGrid>
      <w:tr>
        <w:trPr>
          <w:tblHeader/>
        </w:trPr>
        <w:tc>
          <w:tcPr>
            <w:tcW w:type="dxa" w:w="13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Semaine</w:t>
            </w:r>
          </w:p>
        </w:tc>
        <w:tc>
          <w:tcPr>
            <w:tcW w:type="dxa" w:w="36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 technique — Institut IA (Ethiopian AI Institute)</w:t>
            </w:r>
          </w:p>
        </w:tc>
        <w:tc>
          <w:tcPr>
            <w:tcW w:type="dxa" w:w="36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Piste business — Wadhwani Ignite</w:t>
            </w:r>
          </w:p>
        </w:tc>
        <w:tc>
          <w:tcPr>
            <w:tcW w:type="dxa" w:w="18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Jalon clé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S1
26–31 oct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Inscription &amp; démarrage du module IA avancée ; définition du plan de durcissement de l'agent (cas limites lookahead, journal de décisions)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Finalisation du guide d'entretien client ; 1er entretien (Kouratechnique)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Workplan soumis (25 oct)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S2
2–8 nov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Tests de résistance de l'agent : 20+ scénarios de commandes ambiguës/dangereuses, 0 collision tolérée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2–3 entretiens clients supplémentaires (ateliers Bamako + ENI-ABT)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3 entretiens clients cumulés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S3
9–15 nov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Mesure de latence agent sous 4G/5G réelle ; réglage du repli multi-modèles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Synthèse persona &amp; segments (Module 2 Wadhwani) à partir des entretiens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Persona validé sur du réel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S4
16–22 nov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Mise à jour de la vidéo démo (nouveaux cas d'usage agent) ; devoirs Institut IA rendus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Ébauche go-to-market (Module 3) ; préparation pitch court si sélection bootcamp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Dossier technique à jour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S5
23–29 nov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Résultat sélection des 50 (semaine du 23 nov) ; si retenu, prép. logistique Addis-Abeba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Poursuite Wadhwani (sessions hebdo) quel que soit le résultat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Décision bootcamp connue</w:t>
            </w:r>
          </w:p>
        </w:tc>
      </w:tr>
      <w:tr>
        <w:tc>
          <w:tcPr>
            <w:tcW w:type="dxa" w:w="1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S6–S8
30 nov–17 déc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Si non retenu pour nov. : consolidation technique en vue du bootcamp de février 2027</w:t>
            </w:r>
          </w:p>
        </w:tc>
        <w:tc>
          <w:tcPr>
            <w:tcW w:type="dxa" w:w="3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Modules investment readiness ; 2e cycle de traction (pilote Kouratechnique)</w:t>
            </w:r>
          </w:p>
        </w:tc>
        <w:tc>
          <w:tcPr>
            <w:tcW w:type="dxa" w:w="18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Fin cycle Wadhwani (17 déc)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3. Budget chiffré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Budget d'exécution pour la période, hors coûts déjà pris en charge par le programme (cours MIT, sessions Wadhwani, coaching).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1700"/>
        <w:gridCol w:w="170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Poste de dépense</w:t>
            </w:r>
          </w:p>
        </w:tc>
        <w:tc>
          <w:tcPr>
            <w:tcW w:type="dxa" w:w="43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  <w:tc>
          <w:tcPr>
            <w:tcW w:type="dxa" w:w="17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Coût (FCFA)</w:t>
            </w:r>
          </w:p>
        </w:tc>
        <w:tc>
          <w:tcPr>
            <w:tcW w:type="dxa" w:w="17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≈ USD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Ressource commerciale/business (part-temps, 2 mois)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Appui pour les entretiens clients et le suivi du pilote Kouratechnique — poste identifié comme prioritaire (point faible business)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300 000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≈ 490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Consommables &amp; pièces d'usure machine</w:t>
            </w:r>
          </w:p>
        </w:tc>
        <w:tc>
          <w:tcPr>
            <w:tcW w:type="dxa" w:w="4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Forets, fraises, matière première pour tests d'usinage répétés pendant la phase de démo/pilote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200 000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≈ 325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Déplacements &amp; entretiens clients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Transport pour 5 entretiens (ateliers de Bamako + ENI-ABT) sur 3 semaines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100 000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≈ 165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Connectivité 4G/5G (tests agent IA)</w:t>
            </w:r>
          </w:p>
        </w:tc>
        <w:tc>
          <w:tcPr>
            <w:tcW w:type="dxa" w:w="4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Forfaits data pour valider le routage cellulaire de l'agent en conditions réelles, 2 mois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30 000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≈ 50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Appels API / coûts cloud LLM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Volume de tests intensifs de l'agent (au-delà des paliers gratuits) pendant la phase de durcissement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40 000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≈ 65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Matériel de test complémentaire</w:t>
            </w:r>
          </w:p>
        </w:tc>
        <w:tc>
          <w:tcPr>
            <w:tcW w:type="dxa" w:w="43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Carte/driver de secours pour fiabiliser les démonstrations en direct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80 000</w:t>
            </w:r>
          </w:p>
        </w:tc>
        <w:tc>
          <w:tcPr>
            <w:tcW w:type="dxa" w:w="1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≈ 130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Contingence (10 %)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Marge pour imprévus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75 000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≈ 120</w:t>
            </w:r>
          </w:p>
        </w:tc>
      </w:tr>
      <w:tr>
        <w:tc>
          <w:tcPr>
            <w:tcW w:type="dxa" w:w="2600"/>
            <w:shd w:fill="D962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4300"/>
            <w:shd w:fill="D962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D962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825 000</w:t>
            </w:r>
          </w:p>
        </w:tc>
        <w:tc>
          <w:tcPr>
            <w:tcW w:type="dxa" w:w="1700"/>
            <w:shd w:fill="D962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≈ 1 340</w:t>
            </w:r>
          </w:p>
        </w:tc>
      </w:tr>
    </w:tbl>
    <w:p>
      <w:pPr>
        <w:pBdr>
          <w:left w:val="single" w:color="D9622B" w:sz="18" w:space="8"/>
        </w:pBdr>
        <w:spacing w:after="200" w:before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Hypothèse de change utilisée : 1 USD ≈ 615 FCFA. Chiffres à ajuster avant soumission avec les coûts réels constatés (devis fournisseurs, forfaits opérateurs locaux).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4. Plan de financement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800"/>
        <w:gridCol w:w="2800"/>
      </w:tblGrid>
      <w:tr>
        <w:trPr>
          <w:tblHeader/>
        </w:trPr>
        <w:tc>
          <w:tcPr>
            <w:tcW w:type="dxa" w:w="47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Montant (FCFA)</w:t>
            </w:r>
          </w:p>
        </w:tc>
        <w:tc>
          <w:tcPr>
            <w:tcW w:type="dxa" w:w="28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Apport personnel des fondateurs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400 000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Confirmé</w:t>
            </w:r>
          </w:p>
        </w:tc>
      </w:tr>
      <w:tr>
        <w:tc>
          <w:tcPr>
            <w:tcW w:type="dxa" w:w="4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Revenu / avance pilote Kouratechnique</w:t>
            </w:r>
          </w:p>
        </w:tc>
        <w:tc>
          <w:tcPr>
            <w:tcW w:type="dxa" w:w="28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300 000</w:t>
            </w:r>
          </w:p>
        </w:tc>
        <w:tc>
          <w:tcPr>
            <w:tcW w:type="dxa" w:w="28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En discussion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À sécuriser (partenaire / prix / bourse)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125 000</w:t>
            </w:r>
          </w:p>
        </w:tc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À rechercher pendant Wadhwani</w:t>
            </w:r>
          </w:p>
        </w:tc>
      </w:tr>
    </w:tbl>
    <w:p>
      <w:pPr>
        <w:pBdr>
          <w:left w:val="single" w:color="D9622B" w:sz="18" w:space="8"/>
        </w:pBdr>
        <w:spacing w:after="200" w:before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 solde à sécuriser (125 000 FCFA) est explicitement travaillé pendant les modules "investment readiness" de Wadhwani plutôt que supposé acquis.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5. Indicateurs de succès (au 23 novembre)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4600"/>
      </w:tblGrid>
      <w:tr>
        <w:trPr>
          <w:tblHeader/>
        </w:trPr>
        <w:tc>
          <w:tcPr>
            <w:tcW w:type="dxa" w:w="57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46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Cible au 23 novembre</w:t>
            </w:r>
          </w:p>
        </w:tc>
      </w:tr>
      <w:tr>
        <w:tc>
          <w:tcPr>
            <w:tcW w:type="dxa" w:w="5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Cours MIT (foundational AI)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Terminé et certifié</w:t>
            </w:r>
          </w:p>
        </w:tc>
      </w:tr>
      <w:tr>
        <w:tc>
          <w:tcPr>
            <w:tcW w:type="dxa" w:w="5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Assiduité Wadhwani (sessions live)</w:t>
            </w:r>
          </w:p>
        </w:tc>
        <w:tc>
          <w:tcPr>
            <w:tcW w:type="dxa" w:w="4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100 % des sessions mardi/jeudi</w:t>
            </w:r>
          </w:p>
        </w:tc>
      </w:tr>
      <w:tr>
        <w:tc>
          <w:tcPr>
            <w:tcW w:type="dxa" w:w="5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Entretiens clients réalisés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5 (Kouratechnique + 3 ateliers + 1 institution technique)</w:t>
            </w:r>
          </w:p>
        </w:tc>
      </w:tr>
      <w:tr>
        <w:tc>
          <w:tcPr>
            <w:tcW w:type="dxa" w:w="5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Tests de sécurité agent (validation lookahead)</w:t>
            </w:r>
          </w:p>
        </w:tc>
        <w:tc>
          <w:tcPr>
            <w:tcW w:type="dxa" w:w="4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20+ scénarios, 0 collision</w:t>
            </w:r>
          </w:p>
        </w:tc>
      </w:tr>
      <w:tr>
        <w:tc>
          <w:tcPr>
            <w:tcW w:type="dxa" w:w="5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Pilote payant / lettre d'intention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1 (Kouratechnique)</w:t>
            </w:r>
          </w:p>
        </w:tc>
      </w:tr>
      <w:tr>
        <w:tc>
          <w:tcPr>
            <w:tcW w:type="dxa" w:w="57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Devoirs Institut IA rendus</w:t>
            </w:r>
          </w:p>
        </w:tc>
        <w:tc>
          <w:tcPr>
            <w:tcW w:type="dxa" w:w="46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100 % à temps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6. Risques &amp; mitigations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Retard sur les devoirs Institut IA (double charge avec Wadhwani) → bloquer 2 créneaux fixes/semaine dédiés, dès S1.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Difficulté à obtenir 5 entretiens clients en 3 semaines → mobiliser Kouratechnique comme point d'entrée vers d'autres ateliers de son réseau.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Dépassement du budget consommables (usure imprévue) → contingence de 10 % déjà intégrée au budget.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Non-sélection dans les 50 de novembre → le plan bascule sans rupture vers le bootcamp de février 2027 (S6–S8 déjà orientées en ce sens).</w:t>
      </w:r>
    </w:p>
    <w:p>
      <w:pPr>
        <w:pBdr>
          <w:left w:val="single" w:color="D9622B" w:sz="18" w:space="8"/>
        </w:pBdr>
        <w:spacing w:after="200" w:before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Document de travail — à relire et ajuster (montants, dates de disponibilité de l'équipe, devis réels) avant soumission le 25 octobre 2026.</w:t>
      </w:r>
    </w:p>
    <w:sectPr>
      <w:pgSz w:w="11907" w:h="16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2026-09-13T10:54:43.974Z</dcterms:created>
  <dcterms:modified xsi:type="dcterms:W3CDTF">2026-09-13T10:54:43.974Z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