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Operations Maintenance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Systems Engineering Foundations</w:t>
      </w:r>
    </w:p>
    <w:p>
      <w:r>
        <w:rPr>
          <w:b/>
          <w:color w:val="666666"/>
          <w:sz w:val="20"/>
        </w:rPr>
        <w:t xml:space="preserve">Slide Content: </w:t>
      </w:r>
      <w:r>
        <w:rPr>
          <w:color w:val="666666"/>
          <w:sz w:val="20"/>
        </w:rPr>
        <w:t>Systems Engineering Foundations | Operations &amp;amp; | Maintenance | LIFECYCLE THINKING, SERVICEABILITY, MAINTENANCE PLANNING, AND END-OF-LIFE</w:t>
      </w:r>
    </w:p>
    <w:p>
      <w:r>
        <w:rPr>
          <w:b/>
          <w:sz w:val="22"/>
        </w:rPr>
        <w:t>Speaker Notes:</w:t>
      </w:r>
    </w:p>
    <w:p>
      <w:pPr>
        <w:spacing w:after="80" w:before="40"/>
      </w:pPr>
      <w:r>
        <w:t>Welcome to Operations and Maintenance for MEGN 301. This module covers what happens AFTER your system is delivered — the 50-70% of lifecycle cost that students rarely think about during design. Operations and maintenance is where design decisions come home to roost: a system that is easy to design but hard to maintain will cost the stakeholder far more than one that was designed for the full lifecycle. We cover design for serviceability, maintenance planning, user documentation, training, spare parts logistics, and end-of-life disposal.</w:t>
      </w:r>
    </w:p>
    <w:p>
      <w:pPr>
        <w:spacing w:after="80" w:before="40"/>
      </w:pPr>
      <w:r>
        <w:t>ALIGNMENT NOTE — This module corresponds to Chapter 6 of your Master Reference Document and supports the Final Design Report and FDR deliverables. This content extends beyond the V-Model into the operational lifecycle.</w:t>
      </w:r>
    </w:p>
    <w:p>
      <w:pPr>
        <w:spacing w:after="80" w:before="40"/>
      </w:pPr>
      <w:r>
        <w:t>BOTTOM LINE: O&amp;M is 50-70% of lifecycle cost, and 80% is locked by early design decisions. Design for Access, Modularity, Diagnostics, and Standardization during Chapters 2-3. Use FMECA to justify maintenance strategies. For your Final Report, your Quick-Start Guide should enable your instructor to operate the system.</w:t>
      </w:r>
    </w:p>
    <w:p>
      <w:pPr>
        <w:spacing w:after="80" w:before="40"/>
      </w:pPr>
      <w:r>
        <w:t>FINAL NOTES — Key updates in the final compiled document: (1) Quick-Start Guide template with six required elements (unbox, setup, power up, configure, operate, verify). (2) Five-nines availability context (99% vs 99.999% is an entirely different class of engineering). (3) Final Design Report mapping tip. (4) MTTR reduction example demonstrating that reducing repair time from 10hr to 1hr boosts availability more than doubling MTBF.</w:t>
      </w:r>
    </w:p>
    <w:p>
      <w:r>
        <w:t>────────────────────────────────────────────────────────────</w:t>
      </w:r>
    </w:p>
    <w:p>
      <w:pPr>
        <w:pStyle w:val="Heading2"/>
      </w:pPr>
      <w:r>
        <w:t>Slide 2: Learning outcomes</w:t>
      </w:r>
    </w:p>
    <w:p>
      <w:r>
        <w:rPr>
          <w:b/>
          <w:color w:val="666666"/>
          <w:sz w:val="20"/>
        </w:rPr>
        <w:t xml:space="preserve">Slide Content: </w:t>
      </w:r>
      <w:r>
        <w:rPr>
          <w:color w:val="666666"/>
          <w:sz w:val="20"/>
        </w:rPr>
        <w:t>Learning outcomes | Explain the system lifecycle and why operations/maintenance dominates total cost (50-70%) | Apply design-for-serviceability principles: access, modularity, diagnostics, and standardization | Develop a maintenance plan covering pre...</w:t>
      </w:r>
    </w:p>
    <w:p>
      <w:r>
        <w:rPr>
          <w:b/>
          <w:sz w:val="22"/>
        </w:rPr>
        <w:t>Speaker Notes:</w:t>
      </w:r>
    </w:p>
    <w:p>
      <w:pPr>
        <w:spacing w:after="80" w:before="40"/>
      </w:pPr>
      <w:r>
        <w:t>Six learning outcomes.</w:t>
      </w:r>
    </w:p>
    <w:p>
      <w:r>
        <w:t>────────────────────────────────────────────────────────────</w:t>
      </w:r>
    </w:p>
    <w:p>
      <w:pPr>
        <w:pStyle w:val="Heading2"/>
      </w:pPr>
      <w:r>
        <w:t>Slide 3: Lifecycle</w:t>
      </w:r>
    </w:p>
    <w:p>
      <w:r>
        <w:rPr>
          <w:b/>
          <w:color w:val="666666"/>
          <w:sz w:val="20"/>
        </w:rPr>
        <w:t xml:space="preserve">Slide Content: </w:t>
      </w:r>
      <w:r>
        <w:rPr>
          <w:color w:val="666666"/>
          <w:sz w:val="20"/>
        </w:rPr>
        <w:t>Lifecycle | thinking | Total lifecycle cost, design influence, and operational context</w:t>
      </w:r>
    </w:p>
    <w:p>
      <w:r>
        <w:rPr>
          <w:b/>
          <w:sz w:val="22"/>
        </w:rPr>
        <w:t>Speaker Notes:</w:t>
      </w:r>
    </w:p>
    <w:p>
      <w:pPr>
        <w:spacing w:after="80" w:before="40"/>
      </w:pPr>
      <w:r>
        <w:t>Section 1: lifecycle thinking.</w:t>
      </w:r>
    </w:p>
    <w:p>
      <w:r>
        <w:t>────────────────────────────────────────────────────────────</w:t>
      </w:r>
    </w:p>
    <w:p>
      <w:pPr>
        <w:pStyle w:val="Heading2"/>
      </w:pPr>
      <w:r>
        <w:t>Slide 4: Total lifecycle cost</w:t>
      </w:r>
    </w:p>
    <w:p>
      <w:r>
        <w:rPr>
          <w:b/>
          <w:color w:val="666666"/>
          <w:sz w:val="20"/>
        </w:rPr>
        <w:t xml:space="preserve">Slide Content: </w:t>
      </w:r>
      <w:r>
        <w:rPr>
          <w:color w:val="666666"/>
          <w:sz w:val="20"/>
        </w:rPr>
        <w:t>Total lifecycle cost | The 80/20 Rule | 80% of a system's total lifecycle cost is determined by decisions made during the first 20% of development (concept and preliminary design). By the time detailed design begins, most cost-driving decisions are l...</w:t>
      </w:r>
    </w:p>
    <w:p>
      <w:r>
        <w:rPr>
          <w:b/>
          <w:sz w:val="22"/>
        </w:rPr>
        <w:t>Speaker Notes:</w:t>
      </w:r>
    </w:p>
    <w:p>
      <w:pPr>
        <w:spacing w:after="80" w:before="40"/>
      </w:pPr>
      <w:r>
        <w:t>Total lifecycle cost perspective. 80% locked by early design. O&amp;M dominates at 50-70%.</w:t>
      </w:r>
    </w:p>
    <w:p>
      <w:r>
        <w:t>────────────────────────────────────────────────────────────</w:t>
      </w:r>
    </w:p>
    <w:p>
      <w:pPr>
        <w:pStyle w:val="Heading2"/>
      </w:pPr>
      <w:r>
        <w:t>Slide 5: System lifecycle</w:t>
      </w:r>
    </w:p>
    <w:p>
      <w:r>
        <w:rPr>
          <w:b/>
          <w:color w:val="666666"/>
          <w:sz w:val="20"/>
        </w:rPr>
        <w:t xml:space="preserve">Slide Content: </w:t>
      </w:r>
      <w:r>
        <w:rPr>
          <w:color w:val="666666"/>
          <w:sz w:val="20"/>
        </w:rPr>
        <w:t>System lifecycle | Fig. 1: System lifecycle phases with cost distribution — O&amp;M is 50-70% of total cost</w:t>
      </w:r>
    </w:p>
    <w:p>
      <w:r>
        <w:rPr>
          <w:b/>
          <w:sz w:val="22"/>
        </w:rPr>
        <w:t>Speaker Notes:</w:t>
      </w:r>
    </w:p>
    <w:p>
      <w:pPr>
        <w:spacing w:after="80" w:before="40"/>
      </w:pPr>
      <w:r>
        <w:t>Figure 1: lifecycle phases with cost distribution.</w:t>
      </w:r>
    </w:p>
    <w:p>
      <w:pPr>
        <w:spacing w:after="80" w:before="40"/>
      </w:pPr>
      <w:r>
        <w:t>THE BATHTUB CURVE — Failure rate follows three phases: (1) Infant Mortality — decreasing rate from manufacturing defects, assembly errors, weak components. Address with burn-in testing. (2) Useful Life — constant, low rate described by MTBF. Random failures; preventive replacement is wasteful here. (3) Wear-Out — increasing rate from component degradation. Bearings wear, seals degrade, capacitors dry out. Address with scheduled preventive replacement.</w:t>
      </w:r>
    </w:p>
    <w:p>
      <w:r>
        <w:t>────────────────────────────────────────────────────────────</w:t>
      </w:r>
    </w:p>
    <w:p>
      <w:pPr>
        <w:pStyle w:val="Heading2"/>
      </w:pPr>
      <w:r>
        <w:t>Slide 6: Design for</w:t>
      </w:r>
    </w:p>
    <w:p>
      <w:r>
        <w:rPr>
          <w:b/>
          <w:color w:val="666666"/>
          <w:sz w:val="20"/>
        </w:rPr>
        <w:t xml:space="preserve">Slide Content: </w:t>
      </w:r>
      <w:r>
        <w:rPr>
          <w:color w:val="666666"/>
          <w:sz w:val="20"/>
        </w:rPr>
        <w:t>Design for | serviceability | Access, modularity, diagnostics, standardization, and reliability</w:t>
      </w:r>
    </w:p>
    <w:p>
      <w:r>
        <w:rPr>
          <w:b/>
          <w:sz w:val="22"/>
        </w:rPr>
        <w:t>Speaker Notes:</w:t>
      </w:r>
    </w:p>
    <w:p>
      <w:pPr>
        <w:spacing w:after="80" w:before="40"/>
      </w:pPr>
      <w:r>
        <w:t>Section 2: design for serviceability.</w:t>
      </w:r>
    </w:p>
    <w:p>
      <w:pPr>
        <w:spacing w:after="80" w:before="40"/>
      </w:pPr>
      <w:r>
        <w:t>FIVE-NINES CONTEXT — 98.8% availability (MTBF=2000, MTTR=24) means ~105 hours downtime per year. 99.9% ('three nines') = ~9 hours/year. 99.999% ('five nines') = less than 6 minutes/year — requiring redundant hardware, automatic failover, and 24/7 monitoring. The distance between 99% and 99.999% is not a minor improvement; it is an entirely different class of engineering. For MEGN 301 projects, target 95-99% availability.</w:t>
      </w:r>
    </w:p>
    <w:p>
      <w:pPr>
        <w:spacing w:after="80" w:before="40"/>
      </w:pPr>
      <w:r>
        <w:t>FMECA AND RPN — For each failure mode: RPN = Severity (1-10) × Occurrence (1-10) × Detection (1-10). Range 1-1000. Action threshold: RPN ≥ 100. Any failure with Severity ≥ 8 gets mandatory mitigation regardless of RPN. The FMECA provides mathematical justification for maintenance strategy and spare parts.</w:t>
      </w:r>
    </w:p>
    <w:p>
      <w:r>
        <w:t>────────────────────────────────────────────────────────────</w:t>
      </w:r>
    </w:p>
    <w:p>
      <w:pPr>
        <w:pStyle w:val="Heading2"/>
      </w:pPr>
      <w:r>
        <w:t>Slide 7: Design for serviceability — four principles</w:t>
      </w:r>
    </w:p>
    <w:p>
      <w:r>
        <w:rPr>
          <w:b/>
          <w:color w:val="666666"/>
          <w:sz w:val="20"/>
        </w:rPr>
        <w:t xml:space="preserve">Slide Content: </w:t>
      </w:r>
      <w:r>
        <w:rPr>
          <w:color w:val="666666"/>
          <w:sz w:val="20"/>
        </w:rPr>
        <w:t>Design for serviceability — four principles | Access | Every component that might need replacement, adjustment, or inspection must be physically reachable without disassembling unrelated parts. Use access panels, hinged covers, and quick-release fast...</w:t>
      </w:r>
    </w:p>
    <w:p>
      <w:r>
        <w:rPr>
          <w:b/>
          <w:sz w:val="22"/>
        </w:rPr>
        <w:t>Speaker Notes:</w:t>
      </w:r>
    </w:p>
    <w:p>
      <w:pPr>
        <w:spacing w:after="80" w:before="40"/>
      </w:pPr>
      <w:r>
        <w:t>Four serviceability principles: access, modularity, diagnostics, standardization.</w:t>
      </w:r>
    </w:p>
    <w:p>
      <w:r>
        <w:t>────────────────────────────────────────────────────────────</w:t>
      </w:r>
    </w:p>
    <w:p>
      <w:pPr>
        <w:pStyle w:val="Heading2"/>
      </w:pPr>
      <w:r>
        <w:t>Slide 8: Design for serviceability</w:t>
      </w:r>
    </w:p>
    <w:p>
      <w:r>
        <w:rPr>
          <w:b/>
          <w:color w:val="666666"/>
          <w:sz w:val="20"/>
        </w:rPr>
        <w:t xml:space="preserve">Slide Content: </w:t>
      </w:r>
      <w:r>
        <w:rPr>
          <w:color w:val="666666"/>
          <w:sz w:val="20"/>
        </w:rPr>
        <w:t>Design for serviceability | Fig. 2: Four serviceability principles — access, modularity, diagnostics, standardization</w:t>
      </w:r>
    </w:p>
    <w:p>
      <w:r>
        <w:rPr>
          <w:b/>
          <w:sz w:val="22"/>
        </w:rPr>
        <w:t>Speaker Notes:</w:t>
      </w:r>
    </w:p>
    <w:p>
      <w:pPr>
        <w:spacing w:after="80" w:before="40"/>
      </w:pPr>
      <w:r>
        <w:t>Figure 2: serviceability principles.</w:t>
      </w:r>
    </w:p>
    <w:p>
      <w:r>
        <w:t>────────────────────────────────────────────────────────────</w:t>
      </w:r>
    </w:p>
    <w:p>
      <w:pPr>
        <w:pStyle w:val="Heading2"/>
      </w:pPr>
      <w:r>
        <w:t>Slide 9: Reliability and maintainability metrics</w:t>
      </w:r>
    </w:p>
    <w:p>
      <w:r>
        <w:rPr>
          <w:b/>
          <w:color w:val="666666"/>
          <w:sz w:val="20"/>
        </w:rPr>
        <w:t xml:space="preserve">Slide Content: </w:t>
      </w:r>
      <w:r>
        <w:rPr>
          <w:color w:val="666666"/>
          <w:sz w:val="20"/>
        </w:rPr>
        <w:t>Reliability and maintainability metrics | MTBF | Mean Time Between Failures — average operating time between failures. Higher is better. For electronics, typically 10,000-100,000 hours. Calculated from component failure rates (MIL-HDBK-217 or field d...</w:t>
      </w:r>
    </w:p>
    <w:p>
      <w:r>
        <w:rPr>
          <w:b/>
          <w:sz w:val="22"/>
        </w:rPr>
        <w:t>Speaker Notes:</w:t>
      </w:r>
    </w:p>
    <w:p>
      <w:pPr>
        <w:spacing w:after="80" w:before="40"/>
      </w:pPr>
      <w:r>
        <w:t>Reliability metrics: MTBF, MTTR, availability, and FMEA.</w:t>
      </w:r>
    </w:p>
    <w:p>
      <w:pPr>
        <w:spacing w:after="80" w:before="40"/>
      </w:pPr>
      <w:r>
        <w:t>MAPPING TO YOUR FINAL DESIGN REPORT — Section 1 (Design Requirements): reference SDRD and VCRM results. Section 2 (Design Process): design evolution with photos. Section 3 (Hazards): FMEA results and risk mitigations. Section 4 (Future Work): maintenance recommendations. Appendix: Quick-Start Guide, spare parts list, FMECA, test data. Write these as you go — do not reconstruct the night before submission.</w:t>
      </w:r>
    </w:p>
    <w:p>
      <w:r>
        <w:t>────────────────────────────────────────────────────────────</w:t>
      </w:r>
    </w:p>
    <w:p>
      <w:pPr>
        <w:pStyle w:val="Heading2"/>
      </w:pPr>
      <w:r>
        <w:t>Slide 10: Maintenance</w:t>
      </w:r>
    </w:p>
    <w:p>
      <w:r>
        <w:rPr>
          <w:b/>
          <w:color w:val="666666"/>
          <w:sz w:val="20"/>
        </w:rPr>
        <w:t xml:space="preserve">Slide Content: </w:t>
      </w:r>
      <w:r>
        <w:rPr>
          <w:color w:val="666666"/>
          <w:sz w:val="20"/>
        </w:rPr>
        <w:t>Maintenance | planning | Maintenance strategies, schedules, spare parts, and calibration</w:t>
      </w:r>
    </w:p>
    <w:p>
      <w:r>
        <w:rPr>
          <w:b/>
          <w:sz w:val="22"/>
        </w:rPr>
        <w:t>Speaker Notes:</w:t>
      </w:r>
    </w:p>
    <w:p>
      <w:pPr>
        <w:spacing w:after="80" w:before="40"/>
      </w:pPr>
      <w:r>
        <w:t>Section 3: maintenance planning.</w:t>
      </w:r>
    </w:p>
    <w:p>
      <w:r>
        <w:t>────────────────────────────────────────────────────────────</w:t>
      </w:r>
    </w:p>
    <w:p>
      <w:pPr>
        <w:pStyle w:val="Heading2"/>
      </w:pPr>
      <w:r>
        <w:t>Slide 11: Maintenance strategies</w:t>
      </w:r>
    </w:p>
    <w:p>
      <w:r>
        <w:rPr>
          <w:b/>
          <w:color w:val="666666"/>
          <w:sz w:val="20"/>
        </w:rPr>
        <w:t xml:space="preserve">Slide Content: </w:t>
      </w:r>
      <w:r>
        <w:rPr>
          <w:color w:val="666666"/>
          <w:sz w:val="20"/>
        </w:rPr>
        <w:t>Maintenance strategies | Fig. 3: Four maintenance strategies from reactive through reliability-centered</w:t>
      </w:r>
    </w:p>
    <w:p>
      <w:r>
        <w:rPr>
          <w:b/>
          <w:sz w:val="22"/>
        </w:rPr>
        <w:t>Speaker Notes:</w:t>
      </w:r>
    </w:p>
    <w:p>
      <w:pPr>
        <w:spacing w:after="80" w:before="40"/>
      </w:pPr>
      <w:r>
        <w:t>Figure 3: four maintenance strategies.</w:t>
      </w:r>
    </w:p>
    <w:p>
      <w:r>
        <w:t>────────────────────────────────────────────────────────────</w:t>
      </w:r>
    </w:p>
    <w:p>
      <w:pPr>
        <w:pStyle w:val="Heading2"/>
      </w:pPr>
      <w:r>
        <w:t>Slide 12: Building a maintenance schedule</w:t>
      </w:r>
    </w:p>
    <w:p>
      <w:r>
        <w:rPr>
          <w:b/>
          <w:color w:val="666666"/>
          <w:sz w:val="20"/>
        </w:rPr>
        <w:t xml:space="preserve">Slide Content: </w:t>
      </w:r>
      <w:r>
        <w:rPr>
          <w:color w:val="666666"/>
          <w:sz w:val="20"/>
        </w:rPr>
        <w:t>Building a maintenance schedule | Identify Wear Items | List every component that degrades with use or time: filters, seals, bearings, belts, batteries, lamps, contact surfaces, calibration standards. These are your scheduled replacement items. Consu...</w:t>
      </w:r>
    </w:p>
    <w:p>
      <w:r>
        <w:rPr>
          <w:b/>
          <w:sz w:val="22"/>
        </w:rPr>
        <w:t>Speaker Notes:</w:t>
      </w:r>
    </w:p>
    <w:p>
      <w:pPr>
        <w:spacing w:after="80" w:before="40"/>
      </w:pPr>
      <w:r>
        <w:t>Building a maintenance schedule: identify wear items, define intervals, create spare parts list, set calibration schedule.</w:t>
      </w:r>
    </w:p>
    <w:p>
      <w:r>
        <w:t>────────────────────────────────────────────────────────────</w:t>
      </w:r>
    </w:p>
    <w:p>
      <w:pPr>
        <w:pStyle w:val="Heading2"/>
      </w:pPr>
      <w:r>
        <w:t>Slide 13: Documentation,</w:t>
      </w:r>
    </w:p>
    <w:p>
      <w:r>
        <w:rPr>
          <w:b/>
          <w:color w:val="666666"/>
          <w:sz w:val="20"/>
        </w:rPr>
        <w:t xml:space="preserve">Slide Content: </w:t>
      </w:r>
      <w:r>
        <w:rPr>
          <w:color w:val="666666"/>
          <w:sz w:val="20"/>
        </w:rPr>
        <w:t>Documentation, | training, &amp; EOL | User manuals, operator training, knowledge transfer, and end-of-life</w:t>
      </w:r>
    </w:p>
    <w:p>
      <w:r>
        <w:rPr>
          <w:b/>
          <w:sz w:val="22"/>
        </w:rPr>
        <w:t>Speaker Notes:</w:t>
      </w:r>
    </w:p>
    <w:p>
      <w:pPr>
        <w:spacing w:after="80" w:before="40"/>
      </w:pPr>
      <w:r>
        <w:t>Section 4: documentation, training, and end-of-life.</w:t>
      </w:r>
    </w:p>
    <w:p>
      <w:r>
        <w:t>────────────────────────────────────────────────────────────</w:t>
      </w:r>
    </w:p>
    <w:p>
      <w:pPr>
        <w:pStyle w:val="Heading2"/>
      </w:pPr>
      <w:r>
        <w:t>Slide 14: User documentation</w:t>
      </w:r>
    </w:p>
    <w:p>
      <w:r>
        <w:rPr>
          <w:b/>
          <w:color w:val="666666"/>
          <w:sz w:val="20"/>
        </w:rPr>
        <w:t xml:space="preserve">Slide Content: </w:t>
      </w:r>
      <w:r>
        <w:rPr>
          <w:color w:val="666666"/>
          <w:sz w:val="20"/>
        </w:rPr>
        <w:t>User documentation | Documentation is written for the USER — not for the engineer who designed the system. If the user cannot understand it, it does not exist. | Quick-Start Guide | One page. Gets the user from unpacking to first operation in under 1...</w:t>
      </w:r>
    </w:p>
    <w:p>
      <w:r>
        <w:rPr>
          <w:b/>
          <w:sz w:val="22"/>
        </w:rPr>
        <w:t>Speaker Notes:</w:t>
      </w:r>
    </w:p>
    <w:p>
      <w:pPr>
        <w:spacing w:after="80" w:before="40"/>
      </w:pPr>
      <w:r>
        <w:t>Four types of user documentation. Quick-start is the most important — it is the only document most users will read.</w:t>
      </w:r>
    </w:p>
    <w:p>
      <w:r>
        <w:t>────────────────────────────────────────────────────────────</w:t>
      </w:r>
    </w:p>
    <w:p>
      <w:pPr>
        <w:pStyle w:val="Heading2"/>
      </w:pPr>
      <w:r>
        <w:t>Slide 15: Training and knowledge transfer</w:t>
      </w:r>
    </w:p>
    <w:p>
      <w:r>
        <w:rPr>
          <w:b/>
          <w:color w:val="666666"/>
          <w:sz w:val="20"/>
        </w:rPr>
        <w:t xml:space="preserve">Slide Content: </w:t>
      </w:r>
      <w:r>
        <w:rPr>
          <w:color w:val="666666"/>
          <w:sz w:val="20"/>
        </w:rPr>
        <w:t>Training and knowledge transfer | Who Needs Training? | Operators (daily use), maintainers (repair and calibration), administrators (configuration and data management), and trainers (who will teach the next generation of users). Each audience needs d...</w:t>
      </w:r>
    </w:p>
    <w:p>
      <w:r>
        <w:rPr>
          <w:b/>
          <w:sz w:val="22"/>
        </w:rPr>
        <w:t>Speaker Notes:</w:t>
      </w:r>
    </w:p>
    <w:p>
      <w:pPr>
        <w:spacing w:after="80" w:before="40"/>
      </w:pPr>
      <w:r>
        <w:t>Training and knowledge transfer. Critical for student projects where the design team graduates.</w:t>
      </w:r>
    </w:p>
    <w:p>
      <w:r>
        <w:t>────────────────────────────────────────────────────────────</w:t>
      </w:r>
    </w:p>
    <w:p>
      <w:pPr>
        <w:pStyle w:val="Heading2"/>
      </w:pPr>
      <w:r>
        <w:t>Slide 16: End-of-life planning</w:t>
      </w:r>
    </w:p>
    <w:p>
      <w:r>
        <w:rPr>
          <w:b/>
          <w:color w:val="666666"/>
          <w:sz w:val="20"/>
        </w:rPr>
        <w:t xml:space="preserve">Slide Content: </w:t>
      </w:r>
      <w:r>
        <w:rPr>
          <w:color w:val="666666"/>
          <w:sz w:val="20"/>
        </w:rPr>
        <w:t>End-of-life planning | Fig. 4: Four end-of-life deliverables: documentation, training, spare parts, and disposal planning</w:t>
      </w:r>
    </w:p>
    <w:p>
      <w:r>
        <w:rPr>
          <w:b/>
          <w:sz w:val="22"/>
        </w:rPr>
        <w:t>Speaker Notes:</w:t>
      </w:r>
    </w:p>
    <w:p>
      <w:pPr>
        <w:spacing w:after="80" w:before="40"/>
      </w:pPr>
      <w:r>
        <w:t>Figure 4: end-of-life deliverables.</w:t>
      </w:r>
    </w:p>
    <w:p>
      <w:r>
        <w:t>────────────────────────────────────────────────────────────</w:t>
      </w:r>
    </w:p>
    <w:p>
      <w:pPr>
        <w:pStyle w:val="Heading2"/>
      </w:pPr>
      <w:r>
        <w:t>Slide 17: Operations &amp; maintenance checklist</w:t>
      </w:r>
    </w:p>
    <w:p>
      <w:r>
        <w:rPr>
          <w:b/>
          <w:color w:val="666666"/>
          <w:sz w:val="20"/>
        </w:rPr>
        <w:t xml:space="preserve">Slide Content: </w:t>
      </w:r>
      <w:r>
        <w:rPr>
          <w:color w:val="666666"/>
          <w:sz w:val="20"/>
        </w:rPr>
        <w:t>Operations &amp; maintenance checklist | Address ALL items before system handoff. | Quick-start guide written and tested with a naive user? | Operating manual complete with all modes, features, and safety warnings? | Maintenance schedule defined with int...</w:t>
      </w:r>
    </w:p>
    <w:p>
      <w:r>
        <w:rPr>
          <w:b/>
          <w:sz w:val="22"/>
        </w:rPr>
        <w:t>Speaker Notes:</w:t>
      </w:r>
    </w:p>
    <w:p>
      <w:pPr>
        <w:spacing w:after="80" w:before="40"/>
      </w:pPr>
      <w:r>
        <w:t>Twelve-item O&amp;M checklist.</w:t>
      </w:r>
    </w:p>
    <w:p>
      <w:r>
        <w:t>────────────────────────────────────────────────────────────</w:t>
      </w:r>
    </w:p>
    <w:p>
      <w:pPr>
        <w:pStyle w:val="Heading2"/>
      </w:pPr>
      <w:r>
        <w:t>Slide 18: Practical tips</w:t>
      </w:r>
    </w:p>
    <w:p>
      <w:r>
        <w:rPr>
          <w:b/>
          <w:color w:val="666666"/>
          <w:sz w:val="20"/>
        </w:rPr>
        <w:t xml:space="preserve">Slide Content: </w:t>
      </w:r>
      <w:r>
        <w:rPr>
          <w:color w:val="666666"/>
          <w:sz w:val="20"/>
        </w:rPr>
        <w:t>Practical tips | Design the access panel and test points DURING architecture, not as an afterthought. If the PCB layout is done, it is too late to add diagnostic headers. | Write the quick-start guide first — before the full manual. It forces you to ...</w:t>
      </w:r>
    </w:p>
    <w:p>
      <w:r>
        <w:rPr>
          <w:b/>
          <w:sz w:val="22"/>
        </w:rPr>
        <w:t>Speaker Notes:</w:t>
      </w:r>
    </w:p>
    <w:p>
      <w:pPr>
        <w:spacing w:after="80" w:before="40"/>
      </w:pPr>
      <w:r>
        <w:t>Six practical tips for O&amp;M design.</w:t>
      </w:r>
    </w:p>
    <w:p>
      <w:r>
        <w:t>────────────────────────────────────────────────────────────</w:t>
      </w:r>
    </w:p>
    <w:p>
      <w:pPr>
        <w:pStyle w:val="Heading2"/>
      </w:pPr>
      <w:r>
        <w:t>Slide 19: Common mistakes</w:t>
      </w:r>
    </w:p>
    <w:p>
      <w:r>
        <w:rPr>
          <w:b/>
          <w:color w:val="666666"/>
          <w:sz w:val="20"/>
        </w:rPr>
        <w:t xml:space="preserve">Slide Content: </w:t>
      </w:r>
      <w:r>
        <w:rPr>
          <w:color w:val="666666"/>
          <w:sz w:val="20"/>
        </w:rPr>
        <w:t>Common mistakes | 'It's a prototype, it doesn't need a manual.' Every system handed to someone else needs documentation. At minimum: quick-start, maintenance schedule, and troubleshooting guide. | 'I'll write the docs at the end.' Documentation writt...</w:t>
      </w:r>
    </w:p>
    <w:p>
      <w:r>
        <w:rPr>
          <w:b/>
          <w:sz w:val="22"/>
        </w:rPr>
        <w:t>Speaker Notes:</w:t>
      </w:r>
    </w:p>
    <w:p>
      <w:pPr>
        <w:spacing w:after="80" w:before="40"/>
      </w:pPr>
      <w:r>
        <w:t>Six common O&amp;M mistakes.</w:t>
      </w:r>
    </w:p>
    <w:p>
      <w:r>
        <w:t>────────────────────────────────────────────────────────────</w:t>
      </w:r>
    </w:p>
    <w:p>
      <w:pPr>
        <w:pStyle w:val="Heading2"/>
      </w:pPr>
      <w:r>
        <w:t>Slide 20: Applying in your projects</w:t>
      </w:r>
    </w:p>
    <w:p>
      <w:r>
        <w:rPr>
          <w:b/>
          <w:color w:val="666666"/>
          <w:sz w:val="20"/>
        </w:rPr>
        <w:t xml:space="preserve">Slide Content: </w:t>
      </w:r>
      <w:r>
        <w:rPr>
          <w:color w:val="666666"/>
          <w:sz w:val="20"/>
        </w:rPr>
        <w:t>Applying in your projects | During concept design: consider serviceability requirements. Include access, modularity, and diagnostics in trade study criteria. | At PDR: present maintainability analysis. Identify wear items. Show access panel locations...</w:t>
      </w:r>
    </w:p>
    <w:p>
      <w:r>
        <w:rPr>
          <w:b/>
          <w:sz w:val="22"/>
        </w:rPr>
        <w:t>Speaker Notes:</w:t>
      </w:r>
    </w:p>
    <w:p>
      <w:pPr>
        <w:spacing w:after="80" w:before="40"/>
      </w:pPr>
      <w:r>
        <w:t>Six-step O&amp;M workflow aligned to design reviews.</w:t>
      </w:r>
    </w:p>
    <w:p>
      <w:r>
        <w:t>────────────────────────────────────────────────────────────</w:t>
      </w:r>
    </w:p>
    <w:p>
      <w:pPr>
        <w:pStyle w:val="Heading2"/>
      </w:pPr>
      <w:r>
        <w:t>Slide 21: System handoff and transition to operations</w:t>
      </w:r>
    </w:p>
    <w:p>
      <w:r>
        <w:rPr>
          <w:b/>
          <w:color w:val="666666"/>
          <w:sz w:val="20"/>
        </w:rPr>
        <w:t xml:space="preserve">Slide Content: </w:t>
      </w:r>
      <w:r>
        <w:rPr>
          <w:color w:val="666666"/>
          <w:sz w:val="20"/>
        </w:rPr>
        <w:t>System handoff and transition to operations | The Handoff Package | Everything the operator needs to independently operate, maintain, and troubleshoot the system: all documentation, spare parts, tools, calibration records, software source code, CAD f...</w:t>
      </w:r>
    </w:p>
    <w:p>
      <w:r>
        <w:rPr>
          <w:b/>
          <w:sz w:val="22"/>
        </w:rPr>
        <w:t>Speaker Notes:</w:t>
      </w:r>
    </w:p>
    <w:p>
      <w:pPr>
        <w:spacing w:after="80" w:before="40"/>
      </w:pPr>
      <w:r>
        <w:t>System handoff: package, acceptance, warranty, lessons learned.</w:t>
      </w:r>
    </w:p>
    <w:p>
      <w:r>
        <w:t>────────────────────────────────────────────────────────────</w:t>
      </w:r>
    </w:p>
    <w:p>
      <w:pPr>
        <w:pStyle w:val="Heading2"/>
      </w:pPr>
      <w:r>
        <w:t>Slide 22: Sustainability and responsible engineering</w:t>
      </w:r>
    </w:p>
    <w:p>
      <w:r>
        <w:rPr>
          <w:b/>
          <w:color w:val="666666"/>
          <w:sz w:val="20"/>
        </w:rPr>
        <w:t xml:space="preserve">Slide Content: </w:t>
      </w:r>
      <w:r>
        <w:rPr>
          <w:color w:val="666666"/>
          <w:sz w:val="20"/>
        </w:rPr>
        <w:t>Sustainability and responsible engineering | Design for Disassembly | Use fasteners (not adhesives) for structural joints. Label material types on components. Minimize material mixing. Design so components can be separated into recyclable streams at ...</w:t>
      </w:r>
    </w:p>
    <w:p>
      <w:r>
        <w:rPr>
          <w:b/>
          <w:sz w:val="22"/>
        </w:rPr>
        <w:t>Speaker Notes:</w:t>
      </w:r>
    </w:p>
    <w:p>
      <w:pPr>
        <w:spacing w:after="80" w:before="40"/>
      </w:pPr>
      <w:r>
        <w:t>Sustainability: disassembly, materials, energy, longevity.</w:t>
      </w:r>
    </w:p>
    <w:p>
      <w:r>
        <w:t>────────────────────────────────────────────────────────────</w:t>
      </w:r>
    </w:p>
    <w:p>
      <w:pPr>
        <w:pStyle w:val="Heading2"/>
      </w:pPr>
      <w:r>
        <w:t>Slide 23: Key takeaways</w:t>
      </w:r>
    </w:p>
    <w:p>
      <w:r>
        <w:rPr>
          <w:b/>
          <w:color w:val="666666"/>
          <w:sz w:val="20"/>
        </w:rPr>
        <w:t xml:space="preserve">Slide Content: </w:t>
      </w:r>
      <w:r>
        <w:rPr>
          <w:color w:val="666666"/>
          <w:sz w:val="20"/>
        </w:rPr>
        <w:t>Key takeaways | (1) | Operations and maintenance is 50-70% of total lifecycle cost. 80% of that cost is locked in by decisions made during early design. Design for the full lifecycle, not just the demo. | (2) | Four serviceability principles: access ...</w:t>
      </w:r>
    </w:p>
    <w:p>
      <w:r>
        <w:rPr>
          <w:b/>
          <w:sz w:val="22"/>
        </w:rPr>
        <w:t>Speaker Notes:</w:t>
      </w:r>
    </w:p>
    <w:p>
      <w:pPr>
        <w:spacing w:after="80" w:before="40"/>
      </w:pPr>
      <w:r>
        <w:t>Five key takeaways.</w:t>
      </w:r>
    </w:p>
    <w:p>
      <w:r>
        <w:t>────────────────────────────────────────────────────────────</w:t>
      </w:r>
    </w:p>
    <w:p>
      <w:pPr>
        <w:pStyle w:val="Heading2"/>
      </w:pPr>
      <w:r>
        <w:t>Slide 24: Operations &amp; Maintenance</w:t>
      </w:r>
    </w:p>
    <w:p>
      <w:r>
        <w:rPr>
          <w:b/>
          <w:color w:val="666666"/>
          <w:sz w:val="20"/>
        </w:rPr>
        <w:t xml:space="preserve">Slide Content: </w:t>
      </w:r>
      <w:r>
        <w:rPr>
          <w:color w:val="666666"/>
          <w:sz w:val="20"/>
        </w:rPr>
        <w:t>Operations &amp; Maintenance | "A system that is easy to design but hard to maintain | will cost the stakeholder far more than one that was | designed for the full lifecycle." | Design for the person who fixes it at 2 AM.</w:t>
      </w:r>
    </w:p>
    <w:p>
      <w:r>
        <w:rPr>
          <w:b/>
          <w:sz w:val="22"/>
        </w:rPr>
        <w:t>Speaker Notes:</w:t>
      </w:r>
    </w:p>
    <w:p>
      <w:pPr>
        <w:spacing w:after="80" w:before="40"/>
      </w:pPr>
      <w:r>
        <w:t>Closing slide. Design for the maintainer.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