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STS COMPATIBILITY – HOSE &amp; FENDER CALCULATION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Compatibility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9 Mar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 number: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2026-007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Year: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Dubai</w:t>
            </w:r>
          </w:p>
        </w:tc>
      </w:tr>
    </w:tbl>
    <w:p>
      <w:pPr>
        <w:spacing w:before="200"/>
      </w:pPr>
    </w:p>
    <w:p>
      <w:pPr>
        <w:spacing w:before="100"/>
      </w:pPr>
      <w:r>
        <w:rPr>
          <w:b/>
          <w:bCs/>
          <w:sz w:val="18"/>
          <w:szCs w:val="18"/>
        </w:rPr>
        <w:t xml:space="preserve">STBL (Constant Heading Ship / Berthed Ship)</w:t>
      </w:r>
    </w:p>
    <w:p>
      <w:pPr>
        <w:spacing w:after="8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MT Gas Laggon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DWT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64220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Beam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36.038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72237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Draft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11.85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Manifold to Rail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before="200"/>
      </w:pPr>
    </w:p>
    <w:p>
      <w:pPr>
        <w:spacing w:before="100"/>
      </w:pPr>
      <w:r>
        <w:rPr>
          <w:b/>
          <w:bCs/>
          <w:sz w:val="18"/>
          <w:szCs w:val="18"/>
        </w:rPr>
        <w:t xml:space="preserve">SS (Manoeuvring Ship / Outer Ship)</w:t>
      </w:r>
    </w:p>
    <w:p>
      <w:pPr>
        <w:spacing w:after="8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MT Inception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DWT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49723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Beam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40848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Draft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Manifold to Rail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STS COMPATIBILITY – HOSE &amp; FENDER CALCULATION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STS COMPATIBILITY – HOSE &amp; FENDER CALCULATION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Compatibility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9 Mar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Fender calculation result</w:t>
      </w:r>
    </w:p>
    <w:p>
      <w:pPr>
        <w:spacing w:after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Equivalent Displacement Coefficient (EDC)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52186.18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STBL Mass Coefficient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1.66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 Mass Coefficient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1.38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Combined Virtual Displacement (CVD)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38374.71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Virtual Displacement STBL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119742.88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Virtual Displacement SS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56472.92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 Calm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 Moderate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 Rough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Energy Coefficient Calm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1199.21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Energy Coefficient Moderate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2026.66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Energy Coefficient Rough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3069.98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 selection – Calm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4Nos x 3.3M x 6.5M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 selection – Moderate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4Nos x 3.3M x 6.5M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 selection – Rough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5Nos x 3.3M x 6.5M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STS COMPATIBILITY – HOSE &amp; FENDER CALCULATION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2026-03-17T05:49:04.822Z</dcterms:created>
  <dcterms:modified xsi:type="dcterms:W3CDTF">2026-03-17T05:49:04.822Z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