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Unit 2 — Question Bank: MS Word for Legal Documentation</w:t>
      </w:r>
    </w:p>
    <w:p>
      <w:r/>
      <w:r>
        <w:rPr>
          <w:b/>
        </w:rPr>
        <w:t>Course:</w:t>
      </w:r>
      <w:r>
        <w:t xml:space="preserve"> Computer Information | </w:t>
      </w:r>
      <w:r>
        <w:rPr>
          <w:b/>
        </w:rPr>
        <w:t>Objectives:</w:t>
      </w:r>
      <w:r>
        <w:t xml:space="preserve"> [3, 4, 9]  </w:t>
      </w:r>
    </w:p>
    <w:p>
      <w:r/>
      <w:r>
        <w:rPr>
          <w:b/>
        </w:rPr>
        <w:t>Formats:</w:t>
      </w:r>
      <w:r>
        <w:t xml:space="preserve"> Easy / Medium / Hard with Bloom tags  </w:t>
      </w:r>
    </w:p>
    <w:p>
      <w:r/>
      <w:r>
        <w:rPr>
          <w:b/>
        </w:rPr>
        <w:t>Also see:</w:t>
      </w:r>
      <w:r>
        <w:t xml:space="preserve"> full-course-qa-bank.md for the combined bank.</w:t>
      </w:r>
    </w:p>
    <w:p>
      <w:r>
        <w:t>---</w:t>
      </w:r>
    </w:p>
    <w:p>
      <w:pPr>
        <w:pStyle w:val="Heading3"/>
      </w:pPr>
      <w:r>
        <w:t>E6</w:t>
      </w:r>
    </w:p>
    <w:p>
      <w:r/>
      <w:r>
        <w:rPr>
          <w:b/>
        </w:rPr>
        <w:t>[Easy] [Remember] [Obj 3]</w:t>
      </w:r>
      <w:r>
        <w:t xml:space="preserve"> What is the purpose of "Track Changes" in MS Word?</w:t>
      </w:r>
    </w:p>
    <w:p>
      <w:r/>
      <w:r>
        <w:rPr>
          <w:b/>
        </w:rPr>
        <w:t>Answer:</w:t>
      </w:r>
      <w:r>
        <w:t xml:space="preserve"> It records insertions, deletions, and formatting edits so reviewers can see who changed what and accept or reject revisions—essential for collaborative legal drafting.</w:t>
      </w:r>
    </w:p>
    <w:p>
      <w:r>
        <w:t>---</w:t>
      </w:r>
    </w:p>
    <w:p>
      <w:r>
        <w:t>---</w:t>
      </w:r>
    </w:p>
    <w:p>
      <w:pPr>
        <w:pStyle w:val="Heading3"/>
      </w:pPr>
      <w:r>
        <w:t>E11</w:t>
      </w:r>
    </w:p>
    <w:p>
      <w:r/>
      <w:r>
        <w:rPr>
          <w:b/>
        </w:rPr>
        <w:t>[Easy] [Remember] [Obj 4]</w:t>
      </w:r>
      <w:r>
        <w:t xml:space="preserve"> List three standard sections of a legal notice.</w:t>
      </w:r>
    </w:p>
    <w:p>
      <w:r/>
      <w:r>
        <w:rPr>
          <w:b/>
        </w:rPr>
        <w:t>Answer:</w:t>
      </w:r>
      <w:r>
        <w:t xml:space="preserve"> Heading (parties and date); body (facts, legal basis, demand/relief); signature block with advocate details and place.</w:t>
      </w:r>
    </w:p>
    <w:p>
      <w:r>
        <w:t>---</w:t>
      </w:r>
    </w:p>
    <w:p>
      <w:r>
        <w:t>---</w:t>
      </w:r>
    </w:p>
    <w:p>
      <w:pPr>
        <w:pStyle w:val="Heading3"/>
      </w:pPr>
      <w:r>
        <w:t>M2</w:t>
      </w:r>
    </w:p>
    <w:p>
      <w:r/>
      <w:r>
        <w:rPr>
          <w:b/>
        </w:rPr>
        <w:t>[Medium] [Apply] [Obj 3]</w:t>
      </w:r>
      <w:r>
        <w:t xml:space="preserve"> Outline the steps to create a mail merge for sending individualized hearing notices to 50 clients from an Excel list.</w:t>
      </w:r>
    </w:p>
    <w:p>
      <w:r/>
      <w:r>
        <w:rPr>
          <w:b/>
        </w:rPr>
        <w:t>Answer:</w:t>
      </w:r>
      <w:r>
        <w:t xml:space="preserve"> (1) Prepare Excel data source with fields (name, case no., date). (2) Create Word notice template with merge fields. (3) Mailings → Select Recipients → Use Existing List. (4) Insert merge fields. (5) Preview results. (6) Finish &amp; Merge → Edit Individual Documents or Print.</w:t>
      </w:r>
    </w:p>
    <w:p>
      <w:r>
        <w:t>---</w:t>
      </w:r>
    </w:p>
    <w:p>
      <w:r>
        <w:t>---</w:t>
      </w:r>
    </w:p>
    <w:p>
      <w:pPr>
        <w:pStyle w:val="Heading3"/>
      </w:pPr>
      <w:r>
        <w:t>M3</w:t>
      </w:r>
    </w:p>
    <w:p>
      <w:r/>
      <w:r>
        <w:rPr>
          <w:b/>
        </w:rPr>
        <w:t>[Medium] [Apply] [Obj 4]</w:t>
      </w:r>
      <w:r>
        <w:t xml:space="preserve"> Describe the structural elements of an affidavit suitable for filing.</w:t>
      </w:r>
    </w:p>
    <w:p>
      <w:r/>
      <w:r>
        <w:rPr>
          <w:b/>
        </w:rPr>
        <w:t>Answer:</w:t>
      </w:r>
      <w:r>
        <w:t xml:space="preserve"> Title/caption; introductory paragraph (deponent identity, competence); numbered paragraphs of facts in first person; verification clause ("verified at… on this…"); signature of deponent; attestation by oath commissioner/notary with seal.</w:t>
      </w:r>
    </w:p>
    <w:p>
      <w:r>
        <w:t>---</w:t>
      </w:r>
    </w:p>
    <w:p>
      <w:r>
        <w:t>---</w:t>
      </w:r>
    </w:p>
    <w:p>
      <w:pPr>
        <w:pStyle w:val="Heading3"/>
      </w:pPr>
      <w:r>
        <w:t>M10</w:t>
      </w:r>
    </w:p>
    <w:p>
      <w:r/>
      <w:r>
        <w:rPr>
          <w:b/>
        </w:rPr>
        <w:t>[Medium] [Apply] [Obj 3]</w:t>
      </w:r>
      <w:r>
        <w:t xml:space="preserve"> How do headers, footers, and page numbers support court filing requirements?</w:t>
      </w:r>
    </w:p>
    <w:p>
      <w:r/>
      <w:r>
        <w:rPr>
          <w:b/>
        </w:rPr>
        <w:t>Answer:</w:t>
      </w:r>
      <w:r>
        <w:t xml:space="preserve"> They provide consistent identification (case title, document type), pagination for multi-page filings, and professional layout meeting chamber/court conventions—reducing rejection for formatting defects.</w:t>
      </w:r>
    </w:p>
    <w:p>
      <w:r>
        <w:t>---</w:t>
      </w:r>
    </w:p>
    <w:p>
      <w:r>
        <w:t>---</w:t>
      </w:r>
    </w:p>
    <w:p>
      <w:pPr>
        <w:pStyle w:val="Heading3"/>
      </w:pPr>
      <w:r>
        <w:t>M12</w:t>
      </w:r>
    </w:p>
    <w:p>
      <w:r/>
      <w:r>
        <w:rPr>
          <w:b/>
        </w:rPr>
        <w:t>[Medium] [Apply] [Obj 9]</w:t>
      </w:r>
      <w:r>
        <w:t xml:space="preserve"> List four file-management practices for secure legal work on a shared lab computer.</w:t>
      </w:r>
    </w:p>
    <w:p>
      <w:r/>
      <w:r>
        <w:rPr>
          <w:b/>
        </w:rPr>
        <w:t>Answer:</w:t>
      </w:r>
      <w:r>
        <w:t xml:space="preserve"> Log out after use; save to designated user folder not desktop; use meaningful file names (client matter + doc type + date); avoid leaving confidential PDFs in downloads; back up to approved cloud/USB per institutional policy.</w:t>
      </w:r>
    </w:p>
    <w:p>
      <w:r>
        <w:t>---</w:t>
      </w:r>
    </w:p>
    <w:p>
      <w:pPr>
        <w:pStyle w:val="Heading2"/>
      </w:pPr>
      <w:r>
        <w:t>Section C — Hard [Hard]</w:t>
      </w:r>
    </w:p>
    <w:p>
      <w:r>
        <w:t>---</w:t>
      </w:r>
    </w:p>
    <w:p>
      <w:pPr>
        <w:pStyle w:val="Heading3"/>
      </w:pPr>
      <w:r>
        <w:t>U2-E1</w:t>
      </w:r>
    </w:p>
    <w:p>
      <w:r/>
      <w:r>
        <w:rPr>
          <w:b/>
        </w:rPr>
        <w:t>[Easy] [Remember] [Obj 3]</w:t>
      </w:r>
      <w:r>
        <w:t xml:space="preserve"> What is Mail Merge used for in legal practice (student level)?</w:t>
      </w:r>
    </w:p>
    <w:p>
      <w:r/>
      <w:r>
        <w:rPr>
          <w:b/>
        </w:rPr>
        <w:t>Answer:</w:t>
      </w:r>
      <w:r>
        <w:t xml:space="preserve"> To produce many personalized letters/notices from one template connected to a data source (e.g., client list in Excel).</w:t>
      </w:r>
    </w:p>
    <w:p>
      <w:r>
        <w:t>---</w:t>
      </w:r>
    </w:p>
    <w:p>
      <w:pPr>
        <w:pStyle w:val="Heading3"/>
      </w:pPr>
      <w:r>
        <w:t>U2-M1</w:t>
      </w:r>
    </w:p>
    <w:p>
      <w:r/>
      <w:r>
        <w:rPr>
          <w:b/>
        </w:rPr>
        <w:t>[Medium] [Apply] [Obj 4]</w:t>
      </w:r>
      <w:r>
        <w:t xml:space="preserve"> Outline six essential parts of a practice affidavit for class submission.</w:t>
      </w:r>
    </w:p>
    <w:p>
      <w:r/>
      <w:r>
        <w:rPr>
          <w:b/>
        </w:rPr>
        <w:t>Answer:</w:t>
      </w:r>
      <w:r>
        <w:t xml:space="preserve"> Title/cause; deponent identity; numbered factual paragraphs; statement of truth/verification; place &amp; date; signature/attestation block as instructed.</w:t>
      </w:r>
    </w:p>
    <w:p>
      <w:r>
        <w:t>---</w:t>
      </w:r>
    </w:p>
    <w:p>
      <w:pPr>
        <w:pStyle w:val="Heading3"/>
      </w:pPr>
      <w:r>
        <w:t>U2-H1</w:t>
      </w:r>
    </w:p>
    <w:p>
      <w:r/>
      <w:r>
        <w:rPr>
          <w:b/>
        </w:rPr>
        <w:t>[Hard] [Analyze] [Obj 3]</w:t>
      </w:r>
      <w:r>
        <w:t xml:space="preserve"> A supervisor returns a petition with Track Changes still showing and comments unresolved. What should you do before final filing/submission, and why?</w:t>
      </w:r>
    </w:p>
    <w:p>
      <w:r/>
      <w:r>
        <w:rPr>
          <w:b/>
        </w:rPr>
        <w:t>Answer:</w:t>
      </w:r>
      <w:r>
        <w:t xml:space="preserve"> Review each change/comment; accept/reject thoughtfully; resolve comments; produce a clean copy (unless markup was requested); ensure formatting, page numbers, and party names are consistent—because unresolved markup can leak internal edits and looks unprofessional.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