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Critical</w:t>
      </w:r>
      <w:r>
        <w:t xml:space="preserve"> </w:t>
      </w:r>
      <w:r>
        <w:t xml:space="preserve">Quantification</w:t>
      </w:r>
      <w:r>
        <w:t xml:space="preserve"> </w:t>
      </w:r>
      <w:r>
        <w:t xml:space="preserve">and</w:t>
      </w:r>
      <w:r>
        <w:t xml:space="preserve"> </w:t>
      </w:r>
      <w:r>
        <w:t xml:space="preserve">the</w:t>
      </w:r>
      <w:r>
        <w:t xml:space="preserve"> </w:t>
      </w:r>
      <w:r>
        <w:t xml:space="preserve">Legacy</w:t>
      </w:r>
      <w:r>
        <w:t xml:space="preserve"> </w:t>
      </w:r>
      <w:r>
        <w:t xml:space="preserve">of</w:t>
      </w:r>
      <w:r>
        <w:t xml:space="preserve"> </w:t>
      </w:r>
      <w:r>
        <w:t xml:space="preserve">Brown</w:t>
      </w:r>
      <w:r>
        <w:t xml:space="preserve"> </w:t>
      </w:r>
      <w:r>
        <w:t xml:space="preserve">v.</w:t>
      </w:r>
      <w:r>
        <w:t xml:space="preserve"> </w:t>
      </w:r>
      <w:r>
        <w:t xml:space="preserve">Board:</w:t>
      </w:r>
      <w:r>
        <w:t xml:space="preserve"> </w:t>
      </w:r>
      <w:r>
        <w:t xml:space="preserve">Challenging</w:t>
      </w:r>
      <w:r>
        <w:t xml:space="preserve"> </w:t>
      </w:r>
      <w:r>
        <w:t xml:space="preserve">Traditional</w:t>
      </w:r>
      <w:r>
        <w:t xml:space="preserve"> </w:t>
      </w:r>
      <w:r>
        <w:t xml:space="preserve">Concepts</w:t>
      </w:r>
      <w:r>
        <w:t xml:space="preserve"> </w:t>
      </w:r>
      <w:r>
        <w:t xml:space="preserve">and</w:t>
      </w:r>
      <w:r>
        <w:t xml:space="preserve"> </w:t>
      </w:r>
      <w:r>
        <w:t xml:space="preserve">Approaches</w:t>
      </w:r>
    </w:p>
    <w:p>
      <w:r>
        <w:br w:type="page"/>
      </w:r>
    </w:p>
    <w:bookmarkStart w:id="20" w:name="abstract"/>
    <w:p>
      <w:pPr>
        <w:pStyle w:val="Heading1"/>
      </w:pPr>
      <w:r>
        <w:t xml:space="preserve">Abstract</w:t>
      </w:r>
    </w:p>
    <w:p>
      <w:pPr>
        <w:pStyle w:val="FirstParagraph"/>
      </w:pPr>
      <w:r>
        <w:t xml:space="preserve">The practice and process of quantification involves the measurement or numerical expression of attributes related to a specific phenomenon, event, or entity.</w:t>
      </w:r>
      <w:r>
        <w:t xml:space="preserve"> </w:t>
      </w:r>
      <w:r>
        <w:t xml:space="preserve">This article takes a critical computational approach to examining school desegregation and quantification on this 70th anniversary of the 1954</w:t>
      </w:r>
      <w:r>
        <w:t xml:space="preserve"> </w:t>
      </w:r>
      <w:r>
        <w:rPr>
          <w:i/>
          <w:iCs/>
        </w:rPr>
        <w:t xml:space="preserve">Brown v. Board of Education</w:t>
      </w:r>
      <w:r>
        <w:t xml:space="preserve"> </w:t>
      </w:r>
      <w:r>
        <w:t xml:space="preserve">decision.</w:t>
      </w:r>
      <w:r>
        <w:t xml:space="preserve"> </w:t>
      </w:r>
      <w:r>
        <w:t xml:space="preserve">The analysis engages a 1974 article in the</w:t>
      </w:r>
      <w:r>
        <w:t xml:space="preserve"> </w:t>
      </w:r>
      <w:r>
        <w:rPr>
          <w:i/>
          <w:iCs/>
        </w:rPr>
        <w:t xml:space="preserve">Journal of Negro Education</w:t>
      </w:r>
      <w:r>
        <w:t xml:space="preserve"> </w:t>
      </w:r>
      <w:r>
        <w:t xml:space="preserve">by Michael Giles,</w:t>
      </w:r>
      <w:r>
        <w:t xml:space="preserve"> </w:t>
      </w:r>
      <w:r>
        <w:t xml:space="preserve">“</w:t>
      </w:r>
      <w:r>
        <w:t xml:space="preserve">Measuring School Desegregation.</w:t>
      </w:r>
      <w:r>
        <w:t xml:space="preserve">”</w:t>
      </w:r>
      <w:r>
        <w:t xml:space="preserve"> </w:t>
      </w:r>
      <w:r>
        <w:t xml:space="preserve">In Giles’ study, a segregation index was analyzed to frame the required</w:t>
      </w:r>
      <w:r>
        <w:t xml:space="preserve"> </w:t>
      </w:r>
      <w:r>
        <w:t xml:space="preserve">“</w:t>
      </w:r>
      <w:r>
        <w:t xml:space="preserve">movement</w:t>
      </w:r>
      <w:r>
        <w:t xml:space="preserve">”</w:t>
      </w:r>
      <w:r>
        <w:t xml:space="preserve"> </w:t>
      </w:r>
      <w:r>
        <w:t xml:space="preserve">of Black children and youth to help fulfill the perceived promise of</w:t>
      </w:r>
      <w:r>
        <w:t xml:space="preserve"> </w:t>
      </w:r>
      <w:r>
        <w:rPr>
          <w:i/>
          <w:iCs/>
        </w:rPr>
        <w:t xml:space="preserve">Brown</w:t>
      </w:r>
      <w:r>
        <w:t xml:space="preserve">.</w:t>
      </w:r>
      <w:r>
        <w:t xml:space="preserve"> </w:t>
      </w:r>
      <w:r>
        <w:t xml:space="preserve">The present study conducts a critical conceptual replication of Giles’ work situated within a critical quantification framework that incorporates critical theories in Black education.</w:t>
      </w:r>
      <w:r>
        <w:t xml:space="preserve"> </w:t>
      </w:r>
      <w:r>
        <w:t xml:space="preserve">While findings reveals how seemingly comprehensive models and technical language do not fully account for the complex social systems associated with school desegregation in the research literature, they also highlight an apathy in modern scholarship to maintain narratives of hope and survival.</w:t>
      </w:r>
      <w:r>
        <w:t xml:space="preserve"> </w:t>
      </w:r>
      <w:r>
        <w:t xml:space="preserve">Critical quantification, however, provides a series of counter examples that can be leveraged for framing contemporary education policies and research practices.</w:t>
      </w:r>
      <w:r>
        <w:t xml:space="preserve"> </w:t>
      </w:r>
      <w:r>
        <w:t xml:space="preserve">Implications for extending the discourses in quantitative critical theory, or QuantCrit, beyond critical statistical analysis to include spatial data are also provided.</w:t>
      </w:r>
    </w:p>
    <w:p>
      <w:pPr>
        <w:pStyle w:val="BodyText"/>
      </w:pPr>
      <w:r>
        <w:rPr>
          <w:i/>
          <w:iCs/>
        </w:rPr>
        <w:t xml:space="preserve">Keywords</w:t>
      </w:r>
      <w:r>
        <w:t xml:space="preserve">:</w:t>
      </w:r>
      <w:r>
        <w:t xml:space="preserve"> </w:t>
      </w:r>
      <w:r>
        <w:rPr>
          <w:i/>
          <w:iCs/>
        </w:rPr>
        <w:t xml:space="preserve">Brown v. Board of Education</w:t>
      </w:r>
      <w:r>
        <w:t xml:space="preserve">, desegregation, segregation, race, modeling</w:t>
      </w:r>
    </w:p>
    <w:p>
      <w:r>
        <w:br w:type="page"/>
      </w:r>
    </w:p>
    <w:bookmarkEnd w:id="20"/>
    <w:bookmarkStart w:id="21" w:name="introduction"/>
    <w:p>
      <w:pPr>
        <w:pStyle w:val="Heading1"/>
      </w:pPr>
      <w:r>
        <w:t xml:space="preserve">Introduction</w:t>
      </w:r>
    </w:p>
    <w:p>
      <w:pPr>
        <w:pStyle w:val="FirstParagraph"/>
      </w:pPr>
      <w:r>
        <w:t xml:space="preserve">Derrick Bell’s</w:t>
      </w:r>
      <w:r>
        <w:t xml:space="preserve"> </w:t>
      </w:r>
      <w:r>
        <w:rPr>
          <w:i/>
          <w:iCs/>
        </w:rPr>
        <w:t xml:space="preserve">Silent Covenants</w:t>
      </w:r>
      <w:r>
        <w:t xml:space="preserve"> </w:t>
      </w:r>
      <w:r>
        <w:t xml:space="preserve">(Bell, 2004)</w:t>
      </w:r>
      <w:r>
        <w:t xml:space="preserve"> </w:t>
      </w:r>
      <w:r>
        <w:t xml:space="preserve">speaks on the involuntary sacrifices and racial convergences that encode the ongoing realities of inequitable and unjust public policies in the United States.</w:t>
      </w:r>
      <w:r>
        <w:t xml:space="preserve"> </w:t>
      </w:r>
      <w:r>
        <w:t xml:space="preserve">Taking a critical historical approach to the ongoing inadequacy of racial policies, Bell challenges readers to consider nuance in narratives of hope and trust and in policies that can be historically mapped by failed progress.</w:t>
      </w:r>
      <w:r>
        <w:t xml:space="preserve"> </w:t>
      </w:r>
      <w:r>
        <w:t xml:space="preserve">Bell considers legal cases to outline how these failures have been maintained</w:t>
      </w:r>
      <w:r>
        <w:t xml:space="preserve"> </w:t>
      </w:r>
      <w:r>
        <w:t xml:space="preserve">“</w:t>
      </w:r>
      <w:r>
        <w:t xml:space="preserve">throughout the history of civil rights policies,</w:t>
      </w:r>
      <w:r>
        <w:t xml:space="preserve">”</w:t>
      </w:r>
      <w:r>
        <w:t xml:space="preserve"> </w:t>
      </w:r>
      <w:r>
        <w:t xml:space="preserve">which he notes,</w:t>
      </w:r>
      <w:r>
        <w:t xml:space="preserve"> </w:t>
      </w:r>
      <w:r>
        <w:t xml:space="preserve">“</w:t>
      </w:r>
      <w:r>
        <w:t xml:space="preserve">have been insufficient…to gain real relief from any branch of government</w:t>
      </w:r>
      <w:r>
        <w:t xml:space="preserve">”</w:t>
      </w:r>
      <w:r>
        <w:t xml:space="preserve"> </w:t>
      </w:r>
      <w:r>
        <w:t xml:space="preserve">(p. 49).</w:t>
      </w:r>
      <w:r>
        <w:t xml:space="preserve"> </w:t>
      </w:r>
      <w:r>
        <w:t xml:space="preserve">When considering the injustices that Black people in the United States have and continue to suffer, Bell renders the long shadow of</w:t>
      </w:r>
      <w:r>
        <w:t xml:space="preserve"> </w:t>
      </w:r>
      <w:r>
        <w:rPr>
          <w:i/>
          <w:iCs/>
        </w:rPr>
        <w:t xml:space="preserve">Plessy</w:t>
      </w:r>
      <w:r>
        <w:t xml:space="preserve"> </w:t>
      </w:r>
      <w:r>
        <w:t xml:space="preserve">to pathways beyond the ideation of racial fortuity – or the condition where Black people’s lives are subject to change, at the interplay of interest convergence and racial sacrifice.</w:t>
      </w:r>
      <w:r>
        <w:t xml:space="preserve"> </w:t>
      </w:r>
      <w:r>
        <w:t xml:space="preserve">Here, with racial fortuity, Bell provides an intersectional class critique, connecting to the theme of materialism in his broader work, and challenges, as I argue, scholars to consider how our interests, rather than our moral considerations, drive much of our willingness in contemporary scholarship to not only witness but</w:t>
      </w:r>
      <w:r>
        <w:t xml:space="preserve"> </w:t>
      </w:r>
      <w:r>
        <w:rPr>
          <w:i/>
          <w:iCs/>
        </w:rPr>
        <w:t xml:space="preserve">allow</w:t>
      </w:r>
      <w:r>
        <w:t xml:space="preserve"> </w:t>
      </w:r>
      <w:r>
        <w:t xml:space="preserve">the subjugation of Black children, youth, and families in the United States</w:t>
      </w:r>
      <w:r>
        <w:t xml:space="preserve"> </w:t>
      </w:r>
      <w:r>
        <w:t xml:space="preserve">(Dumas, 2014; Dumas &amp; Ross, 2016; Miraya Ross &amp; Givens, 2023)</w:t>
      </w:r>
      <w:r>
        <w:t xml:space="preserve">.</w:t>
      </w:r>
    </w:p>
    <w:p>
      <w:pPr>
        <w:pStyle w:val="BodyText"/>
      </w:pPr>
      <w:r>
        <w:t xml:space="preserve">This article takes a critical quantification approach to extend, in essence, one of James Baldwin’s famous quotes around progress.</w:t>
      </w:r>
      <w:r>
        <w:t xml:space="preserve"> </w:t>
      </w:r>
      <w:r>
        <w:t xml:space="preserve">In 1989, the American writer, when considering, like Bell and other scholars (see, e.g.,</w:t>
      </w:r>
      <w:r>
        <w:t xml:space="preserve"> </w:t>
      </w:r>
      <w:r>
        <w:t xml:space="preserve">(2014)</w:t>
      </w:r>
      <w:r>
        <w:t xml:space="preserve">, the history of systemic racism and failed progress in U.S. public policies asked:</w:t>
      </w:r>
      <w:r>
        <w:t xml:space="preserve"> </w:t>
      </w:r>
      <w:r>
        <w:t xml:space="preserve">“</w:t>
      </w:r>
      <w:r>
        <w:t xml:space="preserve">You always told me it takes time. It has taken my father’s time, my mother’s time, my uncle’s time, my brothers’ and my sisters’ time, my nieces’ and my nephews’ time. How much time do you want for your</w:t>
      </w:r>
      <w:r>
        <w:t xml:space="preserve"> </w:t>
      </w:r>
      <w:r>
        <w:t xml:space="preserve">‘</w:t>
      </w:r>
      <w:r>
        <w:t xml:space="preserve">progress</w:t>
      </w:r>
      <w:r>
        <w:t xml:space="preserve">’</w:t>
      </w:r>
      <w:r>
        <w:t xml:space="preserve">?</w:t>
      </w:r>
      <w:r>
        <w:t xml:space="preserve">”</w:t>
      </w:r>
    </w:p>
    <w:bookmarkEnd w:id="21"/>
    <w:bookmarkStart w:id="30" w:name="study-frameworks"/>
    <w:p>
      <w:pPr>
        <w:pStyle w:val="Heading1"/>
      </w:pPr>
      <w:r>
        <w:t xml:space="preserve">Study Frameworks</w:t>
      </w:r>
    </w:p>
    <w:bookmarkStart w:id="22" w:name="conceptual-framework"/>
    <w:p>
      <w:pPr>
        <w:pStyle w:val="Heading2"/>
      </w:pPr>
      <w:r>
        <w:t xml:space="preserve">Conceptual framework</w:t>
      </w:r>
    </w:p>
    <w:p>
      <w:pPr>
        <w:pStyle w:val="FirstParagraph"/>
      </w:pPr>
      <w:r>
        <w:t xml:space="preserve">“</w:t>
      </w:r>
      <w:r>
        <w:t xml:space="preserve">Despite the fact that legal and administrative decisions concerning school desegregation have rested increas- ingly on quantitative concepts, little attention has been directed toward the development of a uniform and rigorous method for measuring school desegregation. The purpose of the present article is to suggest such a measure</w:t>
      </w:r>
      <w:r>
        <w:t xml:space="preserve">”</w:t>
      </w:r>
      <w:r>
        <w:t xml:space="preserve"> </w:t>
      </w:r>
      <w:r>
        <w:t xml:space="preserve">(Giles, 1974, p. 516)</w:t>
      </w:r>
      <w:r>
        <w:t xml:space="preserve">.</w:t>
      </w:r>
    </w:p>
    <w:p>
      <w:pPr>
        <w:pStyle w:val="BodyText"/>
      </w:pPr>
      <w:r>
        <w:t xml:space="preserve">Chodrow (2017)</w:t>
      </w:r>
      <w:r>
        <w:t xml:space="preserve"> </w:t>
      </w:r>
      <w:r>
        <w:t xml:space="preserve">notes that we should</w:t>
      </w:r>
      <w:r>
        <w:t xml:space="preserve"> </w:t>
      </w:r>
      <w:r>
        <w:t xml:space="preserve">“</w:t>
      </w:r>
      <w:r>
        <w:t xml:space="preserve">view the problem of learning the structure of segregation as the task of ﬁnding interpretable units of spatial aggregation with boundaries that correspond to demographic transitions. This problem is a form of regionalization—spatially constrained clustering</w:t>
      </w:r>
      <w:r>
        <w:t xml:space="preserve">”</w:t>
      </w:r>
      <w:r>
        <w:t xml:space="preserve"> </w:t>
      </w:r>
      <w:r>
        <w:t xml:space="preserve">(p. 11592).</w:t>
      </w:r>
      <w:r>
        <w:t xml:space="preserve"> </w:t>
      </w:r>
      <w:r>
        <w:t xml:space="preserve">When taken in the context of educational theories, such as</w:t>
      </w:r>
      <w:r>
        <w:t xml:space="preserve"> </w:t>
      </w:r>
      <w:r>
        <w:t xml:space="preserve">Wells &amp; Crain (1994)</w:t>
      </w:r>
      <w:r>
        <w:t xml:space="preserve">, we are challenged to consider the role of critical theories in advanced analytic techniques within social and historical realities of inequity in the diverse narratives on Black education</w:t>
      </w:r>
      <w:r>
        <w:t xml:space="preserve"> </w:t>
      </w:r>
      <w:r>
        <w:t xml:space="preserve">(King, 2006; Miraya Ross &amp; Givens, 2023; Tillman, 2008)</w:t>
      </w:r>
      <w:r>
        <w:t xml:space="preserve">.</w:t>
      </w:r>
    </w:p>
    <w:p>
      <w:pPr>
        <w:pStyle w:val="BodyText"/>
      </w:pPr>
      <w:r>
        <w:t xml:space="preserve">These diverse approaches, then, challenge us to push beyond narratives of hope and survival, towards those that can increasingly dismantle, in the abolitionist tradition, an increasing willingness to allow for some Black children to thrive but not</w:t>
      </w:r>
      <w:r>
        <w:t xml:space="preserve"> </w:t>
      </w:r>
      <w:r>
        <w:rPr>
          <w:i/>
          <w:iCs/>
        </w:rPr>
        <w:t xml:space="preserve">all</w:t>
      </w:r>
      <w:r>
        <w:t xml:space="preserve"> </w:t>
      </w:r>
      <w:r>
        <w:t xml:space="preserve">Black children</w:t>
      </w:r>
      <w:r>
        <w:t xml:space="preserve"> </w:t>
      </w:r>
      <w:r>
        <w:t xml:space="preserve">(Love, 2019)</w:t>
      </w:r>
      <w:r>
        <w:t xml:space="preserve">.</w:t>
      </w:r>
      <w:r>
        <w:t xml:space="preserve"> </w:t>
      </w:r>
      <w:r>
        <w:t xml:space="preserve">These extensions challenge us to refuse a singular focus, for example, on social and emotional learning for Black and other children racialized as non-white</w:t>
      </w:r>
      <w:r>
        <w:t xml:space="preserve"> </w:t>
      </w:r>
      <w:r>
        <w:t xml:space="preserve">(Camangian &amp; Cariaga, 2022)</w:t>
      </w:r>
      <w:r>
        <w:t xml:space="preserve">.</w:t>
      </w:r>
    </w:p>
    <w:bookmarkEnd w:id="22"/>
    <w:bookmarkStart w:id="28" w:name="theoretical-framework"/>
    <w:p>
      <w:pPr>
        <w:pStyle w:val="Heading2"/>
      </w:pPr>
      <w:r>
        <w:t xml:space="preserve">Theoretical framework</w:t>
      </w:r>
    </w:p>
    <w:bookmarkStart w:id="23" w:name="quantcrit"/>
    <w:p>
      <w:pPr>
        <w:pStyle w:val="Heading3"/>
      </w:pPr>
      <w:r>
        <w:t xml:space="preserve">QuantCrit</w:t>
      </w:r>
    </w:p>
    <w:p>
      <w:pPr>
        <w:numPr>
          <w:ilvl w:val="0"/>
          <w:numId w:val="1001"/>
        </w:numPr>
      </w:pPr>
      <w:r>
        <w:t xml:space="preserve">Tabron &amp; Thomas (2023)</w:t>
      </w:r>
    </w:p>
    <w:p>
      <w:pPr>
        <w:numPr>
          <w:ilvl w:val="0"/>
          <w:numId w:val="1001"/>
        </w:numPr>
      </w:pPr>
      <w:r>
        <w:t xml:space="preserve">Garcia et al. (2018)</w:t>
      </w:r>
    </w:p>
    <w:p>
      <w:pPr>
        <w:numPr>
          <w:ilvl w:val="0"/>
          <w:numId w:val="1001"/>
        </w:numPr>
      </w:pPr>
      <w:r>
        <w:t xml:space="preserve">Gillborn et al. (2023)</w:t>
      </w:r>
    </w:p>
    <w:p>
      <w:pPr>
        <w:numPr>
          <w:ilvl w:val="0"/>
          <w:numId w:val="1001"/>
        </w:numPr>
      </w:pPr>
      <w:r>
        <w:t xml:space="preserve">Castillo &amp; Gillborn (2022)</w:t>
      </w:r>
    </w:p>
    <w:p>
      <w:pPr>
        <w:numPr>
          <w:ilvl w:val="0"/>
          <w:numId w:val="1001"/>
        </w:numPr>
      </w:pPr>
      <w:r>
        <w:t xml:space="preserve">Castillo &amp; Babb (2024)</w:t>
      </w:r>
    </w:p>
    <w:p>
      <w:pPr>
        <w:numPr>
          <w:ilvl w:val="0"/>
          <w:numId w:val="1001"/>
        </w:numPr>
      </w:pPr>
      <w:r>
        <w:t xml:space="preserve">Turner (2023)</w:t>
      </w:r>
    </w:p>
    <w:p>
      <w:pPr>
        <w:numPr>
          <w:ilvl w:val="0"/>
          <w:numId w:val="1001"/>
        </w:numPr>
      </w:pPr>
      <w:r>
        <w:t xml:space="preserve">Toldson (2019)</w:t>
      </w:r>
      <w:r>
        <w:t xml:space="preserve"> </w:t>
      </w:r>
      <w:r>
        <w:t xml:space="preserve">- I use Toldson’s work to consider the relation to Black critical theory.</w:t>
      </w:r>
    </w:p>
    <w:bookmarkEnd w:id="23"/>
    <w:bookmarkStart w:id="24" w:name="blackcrit-in-education"/>
    <w:p>
      <w:pPr>
        <w:pStyle w:val="Heading3"/>
      </w:pPr>
      <w:r>
        <w:t xml:space="preserve">BlackCrit in Education</w:t>
      </w:r>
    </w:p>
    <w:bookmarkEnd w:id="24"/>
    <w:bookmarkStart w:id="25" w:name="dumas2016real"/>
    <w:p>
      <w:pPr>
        <w:pStyle w:val="Heading3"/>
      </w:pPr>
      <w:r>
        <w:t xml:space="preserve">Dumas &amp; Ross (2016)</w:t>
      </w:r>
    </w:p>
    <w:p>
      <w:pPr>
        <w:numPr>
          <w:ilvl w:val="0"/>
          <w:numId w:val="1002"/>
        </w:numPr>
      </w:pPr>
      <w:r>
        <w:t xml:space="preserve">Dumas &amp; Ross (2016)</w:t>
      </w:r>
    </w:p>
    <w:p>
      <w:pPr>
        <w:numPr>
          <w:ilvl w:val="0"/>
          <w:numId w:val="1002"/>
        </w:numPr>
      </w:pPr>
      <w:r>
        <w:t xml:space="preserve">CRT in education is inadequate</w:t>
      </w:r>
    </w:p>
    <w:p>
      <w:pPr>
        <w:pStyle w:val="FirstParagraph"/>
      </w:pPr>
      <w:r>
        <w:t xml:space="preserve">Black critical theory in Education</w:t>
      </w:r>
    </w:p>
    <w:bookmarkEnd w:id="25"/>
    <w:bookmarkStart w:id="26" w:name="black-educational-studies"/>
    <w:p>
      <w:pPr>
        <w:pStyle w:val="Heading3"/>
      </w:pPr>
      <w:r>
        <w:t xml:space="preserve">Black Educational Studies</w:t>
      </w:r>
    </w:p>
    <w:p>
      <w:pPr>
        <w:pStyle w:val="FirstParagraph"/>
      </w:pPr>
      <w:r>
        <w:t xml:space="preserve">Black Educational Studies</w:t>
      </w:r>
      <w:r>
        <w:t xml:space="preserve"> </w:t>
      </w:r>
      <w:r>
        <w:t xml:space="preserve">Miraya Ross &amp; Givens (2023)</w:t>
      </w:r>
    </w:p>
    <w:p>
      <w:pPr>
        <w:pStyle w:val="Compact"/>
        <w:numPr>
          <w:ilvl w:val="0"/>
          <w:numId w:val="1003"/>
        </w:numPr>
      </w:pPr>
      <w:r>
        <w:t xml:space="preserve">Historical component as identified by others, such as</w:t>
      </w:r>
      <w:r>
        <w:t xml:space="preserve"> </w:t>
      </w:r>
      <w:r>
        <w:t xml:space="preserve">Bell (2004)</w:t>
      </w:r>
    </w:p>
    <w:bookmarkEnd w:id="26"/>
    <w:bookmarkStart w:id="27" w:name="segregation-vs.-desegregation"/>
    <w:p>
      <w:pPr>
        <w:pStyle w:val="Heading3"/>
      </w:pPr>
      <w:r>
        <w:t xml:space="preserve">Segregation vs. Desegregation</w:t>
      </w:r>
    </w:p>
    <w:p>
      <w:pPr>
        <w:pStyle w:val="FirstParagraph"/>
      </w:pPr>
      <w:r>
        <w:t xml:space="preserve">Importantly, scholars have taken on different approaches to discussions of</w:t>
      </w:r>
      <w:r>
        <w:t xml:space="preserve"> </w:t>
      </w:r>
      <w:r>
        <w:rPr>
          <w:i/>
          <w:iCs/>
        </w:rPr>
        <w:t xml:space="preserve">Brown</w:t>
      </w:r>
      <w:r>
        <w:t xml:space="preserve">.</w:t>
      </w:r>
      <w:r>
        <w:t xml:space="preserve"> </w:t>
      </w:r>
      <w:r>
        <w:t xml:space="preserve">In some instances, scholars utilizes the term</w:t>
      </w:r>
      <w:r>
        <w:t xml:space="preserve"> </w:t>
      </w:r>
      <w:r>
        <w:t xml:space="preserve">‘</w:t>
      </w:r>
      <w:r>
        <w:t xml:space="preserve">segregation</w:t>
      </w:r>
      <w:r>
        <w:t xml:space="preserve">’</w:t>
      </w:r>
      <w:r>
        <w:t xml:space="preserve"> </w:t>
      </w:r>
      <w:r>
        <w:t xml:space="preserve">to relay the various historical features of how neighborhoods and schools have been segregated by race.</w:t>
      </w:r>
      <w:r>
        <w:t xml:space="preserve"> </w:t>
      </w:r>
      <w:r>
        <w:t xml:space="preserve">In other instances, scholars’ approaches have considered the various mechanisms through which public policies might respond to this segregation.</w:t>
      </w:r>
      <w:r>
        <w:t xml:space="preserve"> </w:t>
      </w:r>
      <w:r>
        <w:t xml:space="preserve">These differences provide an important theoretical split in potential critical quantitative approaches to the question of advancing equity in the context of policies that uptake critical theories of race; that is, CRT, BlackCrit, and BES.</w:t>
      </w:r>
      <w:r>
        <w:t xml:space="preserve"> </w:t>
      </w:r>
      <w:r>
        <w:t xml:space="preserve">In each of these frames, scholars deal more acutely with the extensions of critiques that position, increasingly, history as a central component to how we think about moving public policies forward to consider the value of Black children in America’s schools, especially as secondary and postsecondary policies increasingly prevent districts and educational institutions from considering race as a central feature to the spatial features of modern analysis.</w:t>
      </w:r>
    </w:p>
    <w:p>
      <w:pPr>
        <w:pStyle w:val="BodyText"/>
      </w:pPr>
      <w:r>
        <w:t xml:space="preserve">Additionally, with the availability of new computational tools, there is added opportunity to take into serious consideration the ways that prior evidence in both qualitative and quantitative research pushes us to ask, again returning to Bell</w:t>
      </w:r>
      <w:r>
        <w:t xml:space="preserve"> </w:t>
      </w:r>
      <w:r>
        <w:t xml:space="preserve">(1991, 2004)</w:t>
      </w:r>
      <w:r>
        <w:t xml:space="preserve">, around the reality and positionality of Black people in society, and Dumas</w:t>
      </w:r>
      <w:r>
        <w:t xml:space="preserve"> </w:t>
      </w:r>
      <w:r>
        <w:t xml:space="preserve">(2014, 2016)</w:t>
      </w:r>
      <w:r>
        <w:t xml:space="preserve">.</w:t>
      </w:r>
    </w:p>
    <w:bookmarkEnd w:id="27"/>
    <w:bookmarkEnd w:id="28"/>
    <w:bookmarkStart w:id="29" w:name="analytic-framework"/>
    <w:p>
      <w:pPr>
        <w:pStyle w:val="Heading2"/>
      </w:pPr>
      <w:r>
        <w:t xml:space="preserve">Analytic framework</w:t>
      </w:r>
    </w:p>
    <w:p>
      <w:pPr>
        <w:pStyle w:val="FirstParagraph"/>
      </w:pPr>
      <w:r>
        <w:t xml:space="preserve">To advance the theoretical framework for the study, we use mathematical logic as an analytic approach to framing the conceptual replication of the study initially conducted by Giles in his 1974 article in the</w:t>
      </w:r>
      <w:r>
        <w:t xml:space="preserve"> </w:t>
      </w:r>
      <w:r>
        <w:rPr>
          <w:i/>
          <w:iCs/>
        </w:rPr>
        <w:t xml:space="preserve">Journal of Negro Education</w:t>
      </w:r>
      <w:r>
        <w:t xml:space="preserve"> </w:t>
      </w:r>
      <w:r>
        <w:t xml:space="preserve">(Giles, 1974)</w:t>
      </w:r>
      <w:r>
        <w:t xml:space="preserve">.</w:t>
      </w:r>
      <w:r>
        <w:t xml:space="preserve"> </w:t>
      </w:r>
      <w:r>
        <w:t xml:space="preserve">Giles’ work centered on the value of a model, the Index of Dissimilarity, in supporting researchers at the time in making sense of the various political contexts surrounding school desegregation.</w:t>
      </w:r>
      <w:r>
        <w:t xml:space="preserve"> </w:t>
      </w:r>
      <w:r>
        <w:t xml:space="preserve">His analyses contributed to the discourses at the time a quantitative application of the ongoing racism encountered following</w:t>
      </w:r>
      <w:r>
        <w:t xml:space="preserve"> </w:t>
      </w:r>
      <w:r>
        <w:rPr>
          <w:i/>
          <w:iCs/>
        </w:rPr>
        <w:t xml:space="preserve">Brown v. Board</w:t>
      </w:r>
      <w:r>
        <w:t xml:space="preserve">.</w:t>
      </w:r>
      <w:r>
        <w:t xml:space="preserve"> </w:t>
      </w:r>
      <w:r>
        <w:t xml:space="preserve">In the current analyses, we consider the contemporary literature on Black education and critical quantitative approaches to consider the narratives that might allow us to examine, similar to Bell’s analysis in</w:t>
      </w:r>
      <w:r>
        <w:t xml:space="preserve"> </w:t>
      </w:r>
      <w:r>
        <w:rPr>
          <w:i/>
          <w:iCs/>
        </w:rPr>
        <w:t xml:space="preserve">Silent Covenants</w:t>
      </w:r>
      <w:r>
        <w:t xml:space="preserve"> </w:t>
      </w:r>
      <w:r>
        <w:t xml:space="preserve">(Bell, 2004)</w:t>
      </w:r>
      <w:r>
        <w:t xml:space="preserve">, and his related work on the</w:t>
      </w:r>
      <w:r>
        <w:t xml:space="preserve"> </w:t>
      </w:r>
      <w:r>
        <w:rPr>
          <w:i/>
          <w:iCs/>
        </w:rPr>
        <w:t xml:space="preserve">permanence</w:t>
      </w:r>
      <w:r>
        <w:t xml:space="preserve"> </w:t>
      </w:r>
      <w:r>
        <w:t xml:space="preserve">of how Black people experience racism.</w:t>
      </w:r>
    </w:p>
    <w:p>
      <w:pPr>
        <w:pStyle w:val="BodyText"/>
      </w:pPr>
      <w:r>
        <w:t xml:space="preserve">We begin the conceptual replication with a critical theory to advance the analytic framework.</w:t>
      </w:r>
      <w:r>
        <w:t xml:space="preserve"> </w:t>
      </w:r>
      <w:r>
        <w:t xml:space="preserve">This theory is used to exemplify one example of how the analysis provided by Giles inserted some standard assumptions about race and racism that have been outlined in contemporary scholarship regarding scholars’ approaches to the analysis of student level data.</w:t>
      </w:r>
      <w:r>
        <w:t xml:space="preserve"> </w:t>
      </w:r>
      <w:r>
        <w:t xml:space="preserve">Here, we use the index of dissimilarity to also argue for some extensions to current approaches in QuantCrit in relation to the analysis of geospatial data, which the index of dissimilarity and other highly information indices, as noted by</w:t>
      </w:r>
      <w:r>
        <w:t xml:space="preserve"> </w:t>
      </w:r>
      <w:r>
        <w:t xml:space="preserve">Chodrow (2017)</w:t>
      </w:r>
      <w:r>
        <w:t xml:space="preserve">, can be useful for in the analysis of contextual data.</w:t>
      </w:r>
    </w:p>
    <w:p>
      <w:pPr>
        <w:pStyle w:val="BodyText"/>
      </w:pPr>
      <w:r>
        <w:rPr>
          <w:b/>
          <w:bCs/>
        </w:rPr>
        <w:t xml:space="preserve">Theorem</w:t>
      </w:r>
      <w:r>
        <w:t xml:space="preserve">:</w:t>
      </w:r>
      <w:r>
        <w:t xml:space="preserve"> </w:t>
      </w:r>
      <w:r>
        <w:rPr>
          <w:i/>
          <w:iCs/>
        </w:rPr>
        <w:t xml:space="preserve">Standard geospatial measures of segregation, such as the Index of Dissimilarity (D), inherently assume the movement of Black youth, children, and families to achieve desegregation, reflecting an underlying anti-Black bias in its formulation and application to school desegregation efforts</w:t>
      </w:r>
      <w:r>
        <w:t xml:space="preserve">.</w:t>
      </w:r>
    </w:p>
    <w:p>
      <w:pPr>
        <w:pStyle w:val="BodyText"/>
      </w:pPr>
      <w:r>
        <w:t xml:space="preserve">Consider the Index of Dissimilarity (D):</w:t>
      </w:r>
    </w:p>
    <w:p>
      <w:pPr>
        <w:pStyle w:val="BodyText"/>
      </w:pPr>
      <m:oMathPara>
        <m:oMathParaPr>
          <m:jc m:val="center"/>
        </m:oMathParaPr>
        <m:oMath>
          <m:f>
            <m:fPr>
              <m:type m:val="bar"/>
            </m:fPr>
            <m:num>
              <m:r>
                <m:t>1</m:t>
              </m:r>
            </m:num>
            <m:den>
              <m:r>
                <m:t>2</m:t>
              </m:r>
            </m:den>
          </m:f>
          <m:nary>
            <m:naryPr>
              <m:chr m:val="∑"/>
              <m:limLoc m:val="undOvr"/>
              <m:subHide m:val="off"/>
              <m:supHide m:val="on"/>
            </m:naryPr>
            <m:sub>
              <m:r>
                <m:t>i</m:t>
              </m:r>
              <m:r>
                <m:rPr>
                  <m:sty m:val="p"/>
                </m:rPr>
                <m:t>=</m:t>
              </m:r>
              <m:r>
                <m:t>1</m:t>
              </m:r>
            </m:sub>
            <m:sup>
              <m:r>
                <m:t>​</m:t>
              </m:r>
            </m:sup>
            <m:e>
              <m:r>
                <m:rPr>
                  <m:sty m:val="p"/>
                </m:rPr>
                <m:t>|</m:t>
              </m:r>
            </m:e>
          </m:nary>
          <m:f>
            <m:fPr>
              <m:type m:val="bar"/>
            </m:fPr>
            <m:num>
              <m:sSub>
                <m:e>
                  <m:r>
                    <m:t>b</m:t>
                  </m:r>
                </m:e>
                <m:sub>
                  <m:r>
                    <m:t>i</m:t>
                  </m:r>
                </m:sub>
              </m:sSub>
            </m:num>
            <m:den>
              <m:r>
                <m:t>B</m:t>
              </m:r>
            </m:den>
          </m:f>
          <m:r>
            <m:rPr>
              <m:sty m:val="p"/>
            </m:rPr>
            <m:t>−</m:t>
          </m:r>
          <m:f>
            <m:fPr>
              <m:type m:val="bar"/>
            </m:fPr>
            <m:num>
              <m:sSub>
                <m:e>
                  <m:r>
                    <m:t>w</m:t>
                  </m:r>
                </m:e>
                <m:sub>
                  <m:r>
                    <m:t>i</m:t>
                  </m:r>
                </m:sub>
              </m:sSub>
            </m:num>
            <m:den>
              <m:r>
                <m:t>W</m:t>
              </m:r>
            </m:den>
          </m:f>
          <m:r>
            <m:rPr>
              <m:sty m:val="p"/>
            </m:rPr>
            <m:t>|</m:t>
          </m:r>
        </m:oMath>
      </m:oMathPara>
    </w:p>
    <w:p>
      <w:pPr>
        <w:pStyle w:val="Compact"/>
        <w:numPr>
          <w:ilvl w:val="0"/>
          <w:numId w:val="1004"/>
        </w:numPr>
      </w:pPr>
      <w:r>
        <w:t xml:space="preserve">Interpretation of D: The index D represents the proportion of Black students that would need to move to different schools to achieve an even distribution relative to White students.</w:t>
      </w:r>
    </w:p>
    <w:p>
      <w:pPr>
        <w:pStyle w:val="Compact"/>
        <w:numPr>
          <w:ilvl w:val="0"/>
          <w:numId w:val="1004"/>
        </w:numPr>
      </w:pPr>
      <w:r>
        <w:t xml:space="preserve">Assumption of movement:The formula implicitly assumes that to reduce D, the numerically smaller group (typically Black students in many contexts) would be the one to move.</w:t>
      </w:r>
    </w:p>
    <w:p>
      <w:pPr>
        <w:pStyle w:val="Compact"/>
        <w:numPr>
          <w:ilvl w:val="0"/>
          <w:numId w:val="1004"/>
        </w:numPr>
      </w:pPr>
      <w:r>
        <w:t xml:space="preserve">Asymmetry in the formula:While the formula appears symmetric, in practice, when B&lt;WB&lt;W, reducing ∣biB−wiW∣∣Bbi​​−Wwi​​∣ is more easily achieved by changing bibi​ rather than wiwi​.</w:t>
      </w:r>
    </w:p>
    <w:p>
      <w:pPr>
        <w:pStyle w:val="Compact"/>
        <w:numPr>
          <w:ilvl w:val="0"/>
          <w:numId w:val="1004"/>
        </w:numPr>
      </w:pPr>
      <w:r>
        <w:t xml:space="preserve">Historical context:In the context of school desegregation following Brown v. Board of Education, the burden of movement has historically fallen on Black students, often through busing programs</w:t>
      </w:r>
    </w:p>
    <w:p>
      <w:pPr>
        <w:pStyle w:val="Compact"/>
        <w:numPr>
          <w:ilvl w:val="0"/>
          <w:numId w:val="1004"/>
        </w:numPr>
      </w:pPr>
      <w:r>
        <w:t xml:space="preserve">Reinforcement of existing power structures:By implicitly suggesting the movement of the minority group (Black students), the index reinforces existing power dynamics and fails to challenge the centrality of whiteness in educational spaces.</w:t>
      </w:r>
    </w:p>
    <w:p>
      <w:pPr>
        <w:pStyle w:val="Compact"/>
        <w:numPr>
          <w:ilvl w:val="0"/>
          <w:numId w:val="1004"/>
        </w:numPr>
      </w:pPr>
      <w:r>
        <w:t xml:space="preserve">Neglect of systemic factors:The index focuses on numerical distribution without addressing underlying systemic issues that lead to segregation, such as housing policies, economic disparities, and institutional racism4.</w:t>
      </w:r>
    </w:p>
    <w:p>
      <w:pPr>
        <w:pStyle w:val="SourceCode"/>
      </w:pPr>
      <w:r>
        <w:rPr>
          <w:rStyle w:val="VerbatimChar"/>
        </w:rPr>
        <w:t xml:space="preserve">\begin{equation}</w:t>
      </w:r>
      <w:r>
        <w:br/>
      </w:r>
      <w:r>
        <w:br/>
      </w:r>
      <w:r>
        <w:rPr>
          <w:rStyle w:val="VerbatimChar"/>
        </w:rPr>
        <w:t xml:space="preserve">\sum_{i=1} \big| \dfrac{b_i}{B} - \dfrac{w_i}{W} \big|</w:t>
      </w:r>
      <w:r>
        <w:br/>
      </w:r>
      <w:r>
        <w:br/>
      </w:r>
      <w:r>
        <w:rPr>
          <w:rStyle w:val="VerbatimChar"/>
        </w:rPr>
        <w:t xml:space="preserve">\end{equation}</w:t>
      </w:r>
    </w:p>
    <w:p>
      <w:pPr>
        <w:pStyle w:val="FirstParagraph"/>
      </w:pPr>
      <w:r>
        <w:t xml:space="preserve">$$</w:t>
      </w:r>
      <w:r>
        <w:t xml:space="preserve"> </w:t>
      </w:r>
      <w:r>
        <w:t xml:space="preserve">_{i=1}</w:t>
      </w:r>
      <w:r>
        <w:t xml:space="preserve"> </w:t>
      </w:r>
      <w:r>
        <w:t xml:space="preserve">|</w:t>
      </w:r>
      <w:r>
        <w:t xml:space="preserve"> </w:t>
      </w:r>
      <w:r>
        <w:t xml:space="preserve"> </w:t>
      </w:r>
      <w:r>
        <w:t xml:space="preserve">-</w:t>
      </w:r>
      <w:r>
        <w:t xml:space="preserve"> </w:t>
      </w:r>
      <w:r>
        <w:t xml:space="preserve"> </w:t>
      </w:r>
      <w:r>
        <w:t xml:space="preserve">| $$</w:t>
      </w:r>
    </w:p>
    <w:p>
      <w:pPr>
        <w:pStyle w:val="BodyText"/>
      </w:pPr>
      <m:oMath>
        <m:r>
          <m:t>R</m:t>
        </m:r>
        <m:sSub>
          <m:e>
            <m:r>
              <m:t>B</m:t>
            </m:r>
          </m:e>
          <m:sub>
            <m:r>
              <m:t>i</m:t>
            </m:r>
          </m:sub>
        </m:sSub>
      </m:oMath>
      <w:r>
        <w:t xml:space="preserve"> </w:t>
      </w:r>
      <w:r>
        <w:t xml:space="preserve">refers to those students who are racialized as Black, whereas</w:t>
      </w:r>
      <w:r>
        <w:t xml:space="preserve"> </w:t>
      </w:r>
      <m:oMath>
        <m:r>
          <m:t>R</m:t>
        </m:r>
        <m:sSub>
          <m:e>
            <m:r>
              <m:t>W</m:t>
            </m:r>
          </m:e>
          <m:sub>
            <m:r>
              <m:t>i</m:t>
            </m:r>
          </m:sub>
        </m:sSub>
      </m:oMath>
      <w:r>
        <w:t xml:space="preserve"> </w:t>
      </w:r>
      <w:r>
        <w:t xml:space="preserve">refers to those students who are racialized as White, and the honorary whites.</w:t>
      </w:r>
    </w:p>
    <w:p>
      <w:pPr>
        <w:pStyle w:val="BodyText"/>
      </w:pPr>
      <m:oMathPara>
        <m:oMathParaPr>
          <m:jc m:val="center"/>
        </m:oMathParaPr>
        <m:oMath>
          <m:nary>
            <m:naryPr>
              <m:chr m:val="∑"/>
              <m:limLoc m:val="undOvr"/>
              <m:subHide m:val="off"/>
              <m:supHide m:val="on"/>
            </m:naryPr>
            <m:sub>
              <m:r>
                <m:t>i</m:t>
              </m:r>
              <m:r>
                <m:rPr>
                  <m:sty m:val="p"/>
                </m:rPr>
                <m:t>=</m:t>
              </m:r>
              <m:r>
                <m:t>1</m:t>
              </m:r>
            </m:sub>
            <m:sup>
              <m:r>
                <m:t>​</m:t>
              </m:r>
            </m:sup>
            <m:e>
              <m:r>
                <m:rPr>
                  <m:sty m:val="p"/>
                </m:rPr>
                <m:t>|</m:t>
              </m:r>
            </m:e>
          </m:nary>
          <m:f>
            <m:fPr>
              <m:type m:val="bar"/>
            </m:fPr>
            <m:num>
              <m:r>
                <m:t>R</m:t>
              </m:r>
              <m:sSub>
                <m:e>
                  <m:r>
                    <m:t>b</m:t>
                  </m:r>
                </m:e>
                <m:sub>
                  <m:r>
                    <m:t>i</m:t>
                  </m:r>
                </m:sub>
              </m:sSub>
            </m:num>
            <m:den>
              <m:r>
                <m:t>R</m:t>
              </m:r>
              <m:r>
                <m:t>B</m:t>
              </m:r>
            </m:den>
          </m:f>
          <m:r>
            <m:rPr>
              <m:sty m:val="p"/>
            </m:rPr>
            <m:t>−</m:t>
          </m:r>
          <m:f>
            <m:fPr>
              <m:type m:val="bar"/>
            </m:fPr>
            <m:num>
              <m:r>
                <m:t>R</m:t>
              </m:r>
              <m:sSub>
                <m:e>
                  <m:r>
                    <m:t>w</m:t>
                  </m:r>
                </m:e>
                <m:sub>
                  <m:r>
                    <m:t>i</m:t>
                  </m:r>
                </m:sub>
              </m:sSub>
            </m:num>
            <m:den>
              <m:r>
                <m:t>R</m:t>
              </m:r>
              <m:r>
                <m:t>W</m:t>
              </m:r>
            </m:den>
          </m:f>
          <m:r>
            <m:rPr>
              <m:sty m:val="p"/>
            </m:rPr>
            <m:t>|</m:t>
          </m:r>
        </m:oMath>
      </m:oMathPara>
    </w:p>
    <w:bookmarkEnd w:id="29"/>
    <w:bookmarkEnd w:id="30"/>
    <w:bookmarkStart w:id="36" w:name="data-and-methods"/>
    <w:p>
      <w:pPr>
        <w:pStyle w:val="Heading1"/>
      </w:pPr>
      <w:r>
        <w:t xml:space="preserve">Data and Methods</w:t>
      </w:r>
    </w:p>
    <w:p>
      <w:pPr>
        <w:pStyle w:val="FirstParagraph"/>
      </w:pPr>
      <w:r>
        <w:t xml:space="preserve">Text.</w:t>
      </w:r>
    </w:p>
    <w:bookmarkStart w:id="31" w:name="data"/>
    <w:p>
      <w:pPr>
        <w:pStyle w:val="Heading2"/>
      </w:pPr>
      <w:r>
        <w:t xml:space="preserve">Data</w:t>
      </w:r>
    </w:p>
    <w:p>
      <w:pPr>
        <w:pStyle w:val="FirstParagraph"/>
      </w:pPr>
      <w:r>
        <w:t xml:space="preserve">Text.</w:t>
      </w:r>
    </w:p>
    <w:bookmarkEnd w:id="31"/>
    <w:bookmarkStart w:id="35" w:name="methods"/>
    <w:p>
      <w:pPr>
        <w:pStyle w:val="Heading2"/>
      </w:pPr>
      <w:r>
        <w:t xml:space="preserve">Methods</w:t>
      </w:r>
    </w:p>
    <w:p>
      <w:pPr>
        <w:pStyle w:val="FirstParagraph"/>
      </w:pPr>
      <w:r>
        <w:t xml:space="preserve">Conceptual replication.</w:t>
      </w:r>
    </w:p>
    <w:bookmarkStart w:id="32" w:name="schools-as-blocks"/>
    <w:p>
      <w:pPr>
        <w:pStyle w:val="Heading3"/>
      </w:pPr>
      <w:r>
        <w:t xml:space="preserve">Schools as Blocks</w:t>
      </w:r>
    </w:p>
    <w:bookmarkEnd w:id="32"/>
    <w:bookmarkStart w:id="33" w:name="students-as-households"/>
    <w:p>
      <w:pPr>
        <w:pStyle w:val="Heading3"/>
      </w:pPr>
      <w:r>
        <w:t xml:space="preserve">Students as Households</w:t>
      </w:r>
    </w:p>
    <w:bookmarkEnd w:id="33"/>
    <w:bookmarkStart w:id="34" w:name="information"/>
    <w:p>
      <w:pPr>
        <w:pStyle w:val="Heading3"/>
      </w:pPr>
      <w:r>
        <w:t xml:space="preserve">Information</w:t>
      </w:r>
    </w:p>
    <w:p>
      <w:pPr>
        <w:pStyle w:val="FirstParagraph"/>
      </w:pPr>
      <w:r>
        <w:t xml:space="preserve">More advanced analyses may follow Chodrow</w:t>
      </w:r>
      <w:r>
        <w:t xml:space="preserve"> </w:t>
      </w:r>
      <w:r>
        <w:t xml:space="preserve">(2017)</w:t>
      </w:r>
      <w:r>
        <w:t xml:space="preserve"> </w:t>
      </w:r>
      <w:r>
        <w:t xml:space="preserve">to consider the ways that complex information may inform our insights about framing a measure of dissimilarity in residential segregation to a measure of schools and students.</w:t>
      </w:r>
    </w:p>
    <w:bookmarkEnd w:id="34"/>
    <w:bookmarkEnd w:id="35"/>
    <w:bookmarkEnd w:id="36"/>
    <w:bookmarkStart w:id="39" w:name="analysis"/>
    <w:p>
      <w:pPr>
        <w:pStyle w:val="Heading1"/>
      </w:pPr>
      <w:r>
        <w:t xml:space="preserve">Analysis</w:t>
      </w:r>
    </w:p>
    <w:p>
      <w:pPr>
        <w:pStyle w:val="FirstParagraph"/>
      </w:pPr>
      <w:r>
        <w:t xml:space="preserve">Text.</w:t>
      </w:r>
    </w:p>
    <w:p>
      <w:pPr>
        <w:pStyle w:val="TableCaption"/>
      </w:pPr>
      <w:r>
        <w:t xml:space="preserve">Table. Segregation Index in a Completely Segregated School System</w:t>
      </w:r>
    </w:p>
    <w:tbl>
      <w:tblPr>
        <w:tblStyle w:val="Table"/>
        <w:tblW w:type="pct" w:w="5000"/>
        <w:tblLayout w:type="fixed"/>
        <w:tblLook w:firstRow="1" w:lastRow="0" w:firstColumn="0" w:lastColumn="0" w:noHBand="0" w:noVBand="0" w:val="0020"/>
        <w:tblCaption w:val="Table. Segregation Index in a Completely Segregated School System"/>
      </w:tblPr>
      <w:tblGrid>
        <w:gridCol w:w="931"/>
        <w:gridCol w:w="2096"/>
        <w:gridCol w:w="2678"/>
        <w:gridCol w:w="2212"/>
      </w:tblGrid>
      <w:tr>
        <w:trPr>
          <w:tblHeader w:val="on"/>
        </w:trPr>
        <w:tc>
          <w:tcPr/>
          <w:p>
            <w:pPr>
              <w:pStyle w:val="Compact"/>
              <w:jc w:val="left"/>
            </w:pPr>
            <w:r>
              <w:t xml:space="preserve">School</w:t>
            </w:r>
          </w:p>
        </w:tc>
        <w:tc>
          <w:tcPr/>
          <w:p>
            <w:pPr>
              <w:pStyle w:val="Compact"/>
              <w:jc w:val="left"/>
            </w:pPr>
            <w:r>
              <w:t xml:space="preserve">White Enrollment</w:t>
            </w:r>
          </w:p>
        </w:tc>
        <w:tc>
          <w:tcPr/>
          <w:p>
            <w:pPr>
              <w:pStyle w:val="Compact"/>
              <w:jc w:val="left"/>
            </w:pPr>
            <w:r>
              <w:t xml:space="preserve">Non-White Enrollment</w:t>
            </w:r>
          </w:p>
        </w:tc>
        <w:tc>
          <w:tcPr/>
          <w:p>
            <w:pPr>
              <w:pStyle w:val="Compact"/>
              <w:jc w:val="left"/>
            </w:pPr>
            <w:r>
              <w:t xml:space="preserve">Difference</w:t>
            </w:r>
          </w:p>
        </w:tc>
      </w:tr>
      <w:tr>
        <w:tc>
          <w:tcPr/>
          <w:p>
            <w:pPr>
              <w:pStyle w:val="Compact"/>
              <w:jc w:val="left"/>
            </w:pPr>
            <w:r>
              <w:t xml:space="preserve">A</w:t>
            </w:r>
          </w:p>
        </w:tc>
        <w:tc>
          <w:tcPr/>
          <w:p>
            <w:pPr>
              <w:pStyle w:val="Compact"/>
              <w:jc w:val="left"/>
            </w:pPr>
            <w:r>
              <w:t xml:space="preserve">500</w:t>
            </w:r>
          </w:p>
        </w:tc>
        <w:tc>
          <w:tcPr/>
          <w:p>
            <w:pPr>
              <w:pStyle w:val="Compact"/>
              <w:jc w:val="left"/>
            </w:pPr>
            <w:r>
              <w:t xml:space="preserve">0</w:t>
            </w:r>
          </w:p>
        </w:tc>
        <w:tc>
          <w:tcPr/>
          <w:p>
            <w:pPr>
              <w:pStyle w:val="Compact"/>
              <w:jc w:val="left"/>
            </w:pPr>
            <w:r>
              <w:t xml:space="preserve">.50</w:t>
            </w:r>
          </w:p>
        </w:tc>
      </w:tr>
      <w:tr>
        <w:tc>
          <w:tcPr/>
          <w:p>
            <w:pPr>
              <w:pStyle w:val="Compact"/>
              <w:jc w:val="left"/>
            </w:pPr>
            <w:r>
              <w:t xml:space="preserve">B</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C</w:t>
            </w:r>
          </w:p>
        </w:tc>
        <w:tc>
          <w:tcPr/>
          <w:p>
            <w:pPr>
              <w:pStyle w:val="Compact"/>
              <w:jc w:val="left"/>
            </w:pPr>
            <w:r>
              <w:t xml:space="preserve">500</w:t>
            </w:r>
          </w:p>
        </w:tc>
        <w:tc>
          <w:tcPr/>
          <w:p>
            <w:pPr>
              <w:pStyle w:val="Compact"/>
              <w:jc w:val="left"/>
            </w:pPr>
            <w:r>
              <w:t xml:space="preserve">0</w:t>
            </w:r>
          </w:p>
        </w:tc>
        <w:tc>
          <w:tcPr/>
          <w:p>
            <w:pPr>
              <w:pStyle w:val="Compact"/>
              <w:jc w:val="left"/>
            </w:pPr>
            <w:r>
              <w:t xml:space="preserve">.50</w:t>
            </w:r>
          </w:p>
        </w:tc>
      </w:tr>
      <w:tr>
        <w:tc>
          <w:tcPr/>
          <w:p>
            <w:pPr>
              <w:pStyle w:val="Compact"/>
              <w:jc w:val="left"/>
            </w:pPr>
            <w:r>
              <w:t xml:space="preserve">D</w:t>
            </w:r>
          </w:p>
        </w:tc>
        <w:tc>
          <w:tcPr/>
          <w:p>
            <w:pPr>
              <w:pStyle w:val="Compact"/>
              <w:jc w:val="left"/>
            </w:pPr>
            <w:r>
              <w:t xml:space="preserve">0</w:t>
            </w:r>
          </w:p>
        </w:tc>
        <w:tc>
          <w:tcPr/>
          <w:p>
            <w:pPr>
              <w:pStyle w:val="Compact"/>
              <w:jc w:val="left"/>
            </w:pPr>
            <w:r>
              <w:t xml:space="preserve">500</w:t>
            </w:r>
          </w:p>
        </w:tc>
        <w:tc>
          <w:tcPr/>
          <w:p>
            <w:pPr>
              <w:pStyle w:val="Compact"/>
              <w:jc w:val="left"/>
            </w:pPr>
            <w:r>
              <w:t xml:space="preserve">.50</w:t>
            </w:r>
          </w:p>
        </w:tc>
      </w:tr>
      <w:tr>
        <w:tc>
          <w:tcPr/>
          <w:p>
            <w:pPr>
              <w:pStyle w:val="Compact"/>
              <w:jc w:val="left"/>
            </w:pPr>
            <w:r>
              <w:t xml:space="preserve">E</w:t>
            </w:r>
          </w:p>
        </w:tc>
        <w:tc>
          <w:tcPr/>
          <w:p>
            <w:pPr>
              <w:pStyle w:val="Compact"/>
              <w:jc w:val="left"/>
            </w:pPr>
            <w:r>
              <w:rPr>
                <w:u w:val="single"/>
              </w:rPr>
              <w:t xml:space="preserve">0</w:t>
            </w:r>
          </w:p>
        </w:tc>
        <w:tc>
          <w:tcPr/>
          <w:p>
            <w:pPr>
              <w:pStyle w:val="Compact"/>
              <w:jc w:val="left"/>
            </w:pPr>
            <w:r>
              <w:rPr>
                <w:u w:val="single"/>
              </w:rPr>
              <w:t xml:space="preserve">500</w:t>
            </w:r>
          </w:p>
        </w:tc>
        <w:tc>
          <w:tcPr/>
          <w:p>
            <w:pPr>
              <w:pStyle w:val="Compact"/>
              <w:jc w:val="left"/>
            </w:pPr>
            <w:r>
              <w:rPr>
                <w:u w:val="single"/>
              </w:rPr>
              <w:t xml:space="preserve">.50</w:t>
            </w:r>
          </w:p>
        </w:tc>
      </w:tr>
      <w:tr>
        <w:tc>
          <w:tcPr/>
          <w:p>
            <w:pPr>
              <w:pStyle w:val="Compact"/>
            </w:pPr>
          </w:p>
        </w:tc>
        <w:tc>
          <w:tcPr/>
          <w:p>
            <w:pPr>
              <w:pStyle w:val="Compact"/>
              <w:jc w:val="left"/>
            </w:pPr>
            <w:r>
              <w:t xml:space="preserve">1500</w:t>
            </w:r>
          </w:p>
        </w:tc>
        <w:tc>
          <w:tcPr/>
          <w:p>
            <w:pPr>
              <w:pStyle w:val="Compact"/>
              <w:jc w:val="left"/>
            </w:pPr>
            <w:r>
              <w:t xml:space="preserve">1500</w:t>
            </w:r>
          </w:p>
        </w:tc>
        <w:tc>
          <w:tcPr/>
          <w:p>
            <w:pPr>
              <w:pStyle w:val="Compact"/>
              <w:jc w:val="left"/>
            </w:pPr>
            <w:r>
              <w:t xml:space="preserve">2.00</w:t>
            </w:r>
          </w:p>
        </w:tc>
      </w:tr>
      <w:tr>
        <w:tc>
          <w:tcPr/>
          <w:p>
            <w:pPr>
              <w:pStyle w:val="Compact"/>
            </w:pPr>
          </w:p>
        </w:tc>
        <w:tc>
          <w:tcPr/>
          <w:p>
            <w:pPr>
              <w:pStyle w:val="Compact"/>
            </w:pPr>
          </w:p>
        </w:tc>
        <w:tc>
          <w:tcPr/>
          <w:p>
            <w:pPr>
              <w:pStyle w:val="Compact"/>
              <w:jc w:val="left"/>
            </w:pPr>
            <w:r>
              <w:rPr>
                <w:b/>
                <w:bCs/>
              </w:rPr>
              <w:t xml:space="preserve">Segregation Index</w:t>
            </w:r>
          </w:p>
        </w:tc>
        <w:tc>
          <w:tcPr/>
          <w:p>
            <w:pPr>
              <w:pStyle w:val="Compact"/>
              <w:jc w:val="left"/>
            </w:pPr>
            <w:r>
              <w:t xml:space="preserve">1.00</w:t>
            </w:r>
          </w:p>
        </w:tc>
      </w:tr>
    </w:tbl>
    <w:bookmarkStart w:id="37" w:name="zero-point"/>
    <w:p>
      <w:pPr>
        <w:pStyle w:val="Heading2"/>
      </w:pPr>
      <w:r>
        <w:t xml:space="preserve">Zero point</w:t>
      </w:r>
    </w:p>
    <w:p>
      <w:pPr>
        <w:pStyle w:val="FirstParagraph"/>
      </w:pPr>
      <w:r>
        <w:t xml:space="preserve">In his work, Giles discuss the various schooling contexts that will help</w:t>
      </w:r>
      <w:r>
        <w:t xml:space="preserve"> </w:t>
      </w:r>
      <w:r>
        <w:t xml:space="preserve">“</w:t>
      </w:r>
      <w:r>
        <w:t xml:space="preserve">[determine] what condition or conditions constitute desegregation for a school district</w:t>
      </w:r>
      <w:r>
        <w:t xml:space="preserve">”</w:t>
      </w:r>
      <w:r>
        <w:t xml:space="preserve"> </w:t>
      </w:r>
      <w:r>
        <w:t xml:space="preserve">(Giles, 1974, p. 518)</w:t>
      </w:r>
      <w:r>
        <w:t xml:space="preserve">.</w:t>
      </w:r>
      <w:r>
        <w:t xml:space="preserve"> </w:t>
      </w:r>
      <w:r>
        <w:t xml:space="preserve">He considers the issue of voluntary of involuntary mandates for desegregation follow</w:t>
      </w:r>
      <w:r>
        <w:t xml:space="preserve"> </w:t>
      </w:r>
      <w:r>
        <w:rPr>
          <w:i/>
          <w:iCs/>
        </w:rPr>
        <w:t xml:space="preserve">Brown</w:t>
      </w:r>
      <w:r>
        <w:t xml:space="preserve">.</w:t>
      </w:r>
      <w:r>
        <w:t xml:space="preserve"> </w:t>
      </w:r>
      <w:r>
        <w:t xml:space="preserve">As discussed in the recent publications provided by the Spencer Foundation on the 70th anniversary of Brown, the dynamic conditions which constitute a consideration of</w:t>
      </w:r>
      <w:r>
        <w:t xml:space="preserve"> </w:t>
      </w:r>
      <w:r>
        <w:rPr>
          <w:i/>
          <w:iCs/>
        </w:rPr>
        <w:t xml:space="preserve">Brown’s</w:t>
      </w:r>
      <w:r>
        <w:t xml:space="preserve"> </w:t>
      </w:r>
      <w:r>
        <w:t xml:space="preserve">promise require a complex analytic approach.</w:t>
      </w:r>
    </w:p>
    <w:p>
      <w:pPr>
        <w:pStyle w:val="BodyText"/>
      </w:pPr>
      <w:r>
        <w:t xml:space="preserve">Education researchers have taken on various models to consider the various complexities involved in modeling desegregation.</w:t>
      </w:r>
      <w:r>
        <w:t xml:space="preserve"> </w:t>
      </w:r>
      <w:r>
        <w:t xml:space="preserve">For example,</w:t>
      </w:r>
      <w:r>
        <w:t xml:space="preserve"> </w:t>
      </w:r>
      <w:r>
        <w:t xml:space="preserve">Reardon &amp; Owens (2014)</w:t>
      </w:r>
      <w:r>
        <w:t xml:space="preserve">, considering the 60th anniversary of</w:t>
      </w:r>
      <w:r>
        <w:t xml:space="preserve"> </w:t>
      </w:r>
      <w:r>
        <w:rPr>
          <w:i/>
          <w:iCs/>
        </w:rPr>
        <w:t xml:space="preserve">Brown</w:t>
      </w:r>
      <w:r>
        <w:t xml:space="preserve"> </w:t>
      </w:r>
      <w:r>
        <w:t xml:space="preserve">analyzes various trends in the quantification of school segregation.</w:t>
      </w:r>
    </w:p>
    <w:p>
      <w:pPr>
        <w:pStyle w:val="BodyText"/>
      </w:pPr>
      <w:r>
        <w:t xml:space="preserve">Racial composition - Adam Clayton Powell in the language of the Massachusetts Act</w:t>
      </w:r>
      <w:r>
        <w:t xml:space="preserve"> </w:t>
      </w:r>
      <w:r>
        <w:t xml:space="preserve">(</w:t>
      </w:r>
      <w:r>
        <w:rPr>
          <w:b/>
          <w:bCs/>
        </w:rPr>
        <w:t xml:space="preserve">giles519?</w:t>
      </w:r>
      <w:r>
        <w:t xml:space="preserve">)</w:t>
      </w:r>
    </w:p>
    <w:p>
      <w:pPr>
        <w:pStyle w:val="BodyText"/>
      </w:pPr>
      <w:r>
        <w:t xml:space="preserve">Text.</w:t>
      </w:r>
    </w:p>
    <w:p>
      <w:pPr>
        <w:pStyle w:val="TableCaption"/>
      </w:pPr>
      <w:r>
        <w:t xml:space="preserve">Table. Segregation Index in a Seemingly Desegregated School System</w:t>
      </w:r>
    </w:p>
    <w:tbl>
      <w:tblPr>
        <w:tblStyle w:val="Table"/>
        <w:tblW w:type="pct" w:w="5000"/>
        <w:tblLayout w:type="fixed"/>
        <w:tblLook w:firstRow="1" w:lastRow="0" w:firstColumn="0" w:lastColumn="0" w:noHBand="0" w:noVBand="0" w:val="0020"/>
        <w:tblCaption w:val="Table. Segregation Index in a Seemingly Desegregated School System"/>
      </w:tblPr>
      <w:tblGrid>
        <w:gridCol w:w="918"/>
        <w:gridCol w:w="2180"/>
        <w:gridCol w:w="2640"/>
        <w:gridCol w:w="2180"/>
      </w:tblGrid>
      <w:tr>
        <w:trPr>
          <w:tblHeader w:val="on"/>
        </w:trPr>
        <w:tc>
          <w:tcPr/>
          <w:p>
            <w:pPr>
              <w:pStyle w:val="Compact"/>
              <w:jc w:val="left"/>
            </w:pPr>
            <w:r>
              <w:t xml:space="preserve">School</w:t>
            </w:r>
          </w:p>
        </w:tc>
        <w:tc>
          <w:tcPr/>
          <w:p>
            <w:pPr>
              <w:pStyle w:val="Compact"/>
              <w:jc w:val="left"/>
            </w:pPr>
            <w:r>
              <w:t xml:space="preserve">White Enrollment</w:t>
            </w:r>
          </w:p>
        </w:tc>
        <w:tc>
          <w:tcPr/>
          <w:p>
            <w:pPr>
              <w:pStyle w:val="Compact"/>
              <w:jc w:val="left"/>
            </w:pPr>
            <w:r>
              <w:t xml:space="preserve">Non-White Enrollment</w:t>
            </w:r>
          </w:p>
        </w:tc>
        <w:tc>
          <w:tcPr/>
          <w:p>
            <w:pPr>
              <w:pStyle w:val="Compact"/>
              <w:jc w:val="left"/>
            </w:pPr>
            <w:r>
              <w:t xml:space="preserve">Difference</w:t>
            </w:r>
          </w:p>
        </w:tc>
      </w:tr>
      <w:tr>
        <w:tc>
          <w:tcPr/>
          <w:p>
            <w:pPr>
              <w:pStyle w:val="Compact"/>
              <w:jc w:val="left"/>
            </w:pPr>
            <w:r>
              <w:t xml:space="preserve">A</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B</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C</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D</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E</w:t>
            </w:r>
          </w:p>
        </w:tc>
        <w:tc>
          <w:tcPr/>
          <w:p>
            <w:pPr>
              <w:pStyle w:val="Compact"/>
              <w:jc w:val="left"/>
            </w:pPr>
            <w:r>
              <w:rPr>
                <w:u w:val="single"/>
              </w:rPr>
              <w:t xml:space="preserve">500</w:t>
            </w:r>
          </w:p>
        </w:tc>
        <w:tc>
          <w:tcPr/>
          <w:p>
            <w:pPr>
              <w:pStyle w:val="Compact"/>
              <w:jc w:val="left"/>
            </w:pPr>
            <w:r>
              <w:rPr>
                <w:u w:val="single"/>
              </w:rPr>
              <w:t xml:space="preserve">500</w:t>
            </w:r>
          </w:p>
        </w:tc>
        <w:tc>
          <w:tcPr/>
          <w:p>
            <w:pPr>
              <w:pStyle w:val="Compact"/>
              <w:jc w:val="left"/>
            </w:pPr>
            <w:r>
              <w:rPr>
                <w:u w:val="single"/>
              </w:rPr>
              <w:t xml:space="preserve">.00</w:t>
            </w:r>
          </w:p>
        </w:tc>
      </w:tr>
      <w:tr>
        <w:tc>
          <w:tcPr/>
          <w:p>
            <w:pPr>
              <w:pStyle w:val="Compact"/>
            </w:pPr>
          </w:p>
        </w:tc>
        <w:tc>
          <w:tcPr/>
          <w:p>
            <w:pPr>
              <w:pStyle w:val="Compact"/>
              <w:jc w:val="left"/>
            </w:pPr>
            <w:r>
              <w:t xml:space="preserve">2500</w:t>
            </w:r>
          </w:p>
        </w:tc>
        <w:tc>
          <w:tcPr/>
          <w:p>
            <w:pPr>
              <w:pStyle w:val="Compact"/>
              <w:jc w:val="left"/>
            </w:pPr>
            <w:r>
              <w:t xml:space="preserve">2500</w:t>
            </w:r>
          </w:p>
        </w:tc>
        <w:tc>
          <w:tcPr/>
          <w:p>
            <w:pPr>
              <w:pStyle w:val="Compact"/>
              <w:jc w:val="left"/>
            </w:pPr>
            <w:r>
              <w:t xml:space="preserve">0.00</w:t>
            </w:r>
          </w:p>
        </w:tc>
      </w:tr>
      <w:tr>
        <w:tc>
          <w:tcPr/>
          <w:p>
            <w:pPr>
              <w:pStyle w:val="Compact"/>
            </w:pPr>
          </w:p>
        </w:tc>
        <w:tc>
          <w:tcPr/>
          <w:p>
            <w:pPr>
              <w:pStyle w:val="Compact"/>
            </w:pPr>
          </w:p>
        </w:tc>
        <w:tc>
          <w:tcPr/>
          <w:p>
            <w:pPr>
              <w:pStyle w:val="Compact"/>
              <w:jc w:val="left"/>
            </w:pPr>
            <w:r>
              <w:rPr>
                <w:b/>
                <w:bCs/>
              </w:rPr>
              <w:t xml:space="preserve">Segregation Index</w:t>
            </w:r>
          </w:p>
        </w:tc>
        <w:tc>
          <w:tcPr/>
          <w:p>
            <w:pPr>
              <w:pStyle w:val="Compact"/>
              <w:jc w:val="left"/>
            </w:pPr>
            <w:r>
              <w:t xml:space="preserve">.00</w:t>
            </w:r>
          </w:p>
        </w:tc>
      </w:tr>
    </w:tbl>
    <w:bookmarkEnd w:id="37"/>
    <w:bookmarkStart w:id="38" w:name="percent-points"/>
    <w:p>
      <w:pPr>
        <w:pStyle w:val="Heading2"/>
      </w:pPr>
      <w:r>
        <w:t xml:space="preserve">Percent points</w:t>
      </w:r>
    </w:p>
    <w:p>
      <w:pPr>
        <w:pStyle w:val="FirstParagraph"/>
      </w:pPr>
      <w:r>
        <w:t xml:space="preserve">Giles (1974)</w:t>
      </w:r>
      <w:r>
        <w:t xml:space="preserve"> </w:t>
      </w:r>
      <w:r>
        <w:t xml:space="preserve">identifies a set of percent point that serve as measures of desegregation.</w:t>
      </w:r>
    </w:p>
    <w:p>
      <w:pPr>
        <w:pStyle w:val="BodyText"/>
      </w:pPr>
      <w:r>
        <w:rPr>
          <w:b/>
          <w:bCs/>
        </w:rPr>
        <w:t xml:space="preserve">The 90-percent point</w:t>
      </w:r>
      <w:r>
        <w:t xml:space="preserve">: The</w:t>
      </w:r>
      <w:r>
        <w:t xml:space="preserve"> </w:t>
      </w:r>
      <w:r>
        <w:t xml:space="preserve">“</w:t>
      </w:r>
      <w:r>
        <w:t xml:space="preserve">90 per cent or more whites</w:t>
      </w:r>
      <w:r>
        <w:t xml:space="preserve">”</w:t>
      </w:r>
      <w:r>
        <w:t xml:space="preserve"> </w:t>
      </w:r>
      <w:r>
        <w:t xml:space="preserve">(Giles, 1974, p. 518)</w:t>
      </w:r>
      <w:r>
        <w:t xml:space="preserve"> </w:t>
      </w:r>
      <w:r>
        <w:t xml:space="preserve">enrollment point that defined desegregation The Allen Report of 1964</w:t>
      </w:r>
      <w:r>
        <w:t xml:space="preserve"> </w:t>
      </w:r>
      <w:r>
        <w:t xml:space="preserve">(</w:t>
      </w:r>
      <w:r>
        <w:rPr>
          <w:b/>
          <w:bCs/>
        </w:rPr>
        <w:t xml:space="preserve">allen?</w:t>
      </w:r>
      <w:r>
        <w:t xml:space="preserve">)</w:t>
      </w:r>
      <w:r>
        <w:t xml:space="preserve">; the 90 percent point is also used by the HEW’s Office of Civil Rights</w:t>
      </w:r>
      <w:r>
        <w:t xml:space="preserve"> </w:t>
      </w:r>
      <w:r>
        <w:t xml:space="preserve">(</w:t>
      </w:r>
      <w:r>
        <w:rPr>
          <w:b/>
          <w:bCs/>
        </w:rPr>
        <w:t xml:space="preserve">hew?</w:t>
      </w:r>
      <w:r>
        <w:t xml:space="preserve">)</w:t>
      </w:r>
      <w:r>
        <w:t xml:space="preserve">.</w:t>
      </w:r>
    </w:p>
    <w:p>
      <w:pPr>
        <w:pStyle w:val="BodyText"/>
      </w:pPr>
      <w:r>
        <w:t xml:space="preserve">Text.</w:t>
      </w:r>
    </w:p>
    <w:p>
      <w:pPr>
        <w:pStyle w:val="TableCaption"/>
      </w:pPr>
      <w:r>
        <w:t xml:space="preserve">Table. Segregation Index in a Partially De/segregated School System</w:t>
      </w:r>
    </w:p>
    <w:tbl>
      <w:tblPr>
        <w:tblStyle w:val="Table"/>
        <w:tblW w:type="pct" w:w="5000"/>
        <w:tblLayout w:type="fixed"/>
        <w:tblLook w:firstRow="1" w:lastRow="0" w:firstColumn="0" w:lastColumn="0" w:noHBand="0" w:noVBand="0" w:val="0020"/>
        <w:tblCaption w:val="Table. Segregation Index in a Partially De/segregated School System"/>
      </w:tblPr>
      <w:tblGrid>
        <w:gridCol w:w="918"/>
        <w:gridCol w:w="2180"/>
        <w:gridCol w:w="2640"/>
        <w:gridCol w:w="2180"/>
      </w:tblGrid>
      <w:tr>
        <w:trPr>
          <w:tblHeader w:val="on"/>
        </w:trPr>
        <w:tc>
          <w:tcPr/>
          <w:p>
            <w:pPr>
              <w:pStyle w:val="Compact"/>
              <w:jc w:val="left"/>
            </w:pPr>
            <w:r>
              <w:t xml:space="preserve">School</w:t>
            </w:r>
          </w:p>
        </w:tc>
        <w:tc>
          <w:tcPr/>
          <w:p>
            <w:pPr>
              <w:pStyle w:val="Compact"/>
              <w:jc w:val="left"/>
            </w:pPr>
            <w:r>
              <w:t xml:space="preserve">White Enrollment</w:t>
            </w:r>
          </w:p>
        </w:tc>
        <w:tc>
          <w:tcPr/>
          <w:p>
            <w:pPr>
              <w:pStyle w:val="Compact"/>
              <w:jc w:val="left"/>
            </w:pPr>
            <w:r>
              <w:t xml:space="preserve">Non-White Enrollment</w:t>
            </w:r>
          </w:p>
        </w:tc>
        <w:tc>
          <w:tcPr/>
          <w:p>
            <w:pPr>
              <w:pStyle w:val="Compact"/>
              <w:jc w:val="left"/>
            </w:pPr>
            <w:r>
              <w:t xml:space="preserve">Difference</w:t>
            </w:r>
          </w:p>
        </w:tc>
      </w:tr>
      <w:tr>
        <w:tc>
          <w:tcPr/>
          <w:p>
            <w:pPr>
              <w:pStyle w:val="Compact"/>
              <w:jc w:val="left"/>
            </w:pPr>
            <w:r>
              <w:t xml:space="preserve">A</w:t>
            </w:r>
          </w:p>
        </w:tc>
        <w:tc>
          <w:tcPr/>
          <w:p>
            <w:pPr>
              <w:pStyle w:val="Compact"/>
              <w:jc w:val="left"/>
            </w:pPr>
            <w:r>
              <w:t xml:space="preserve">500</w:t>
            </w:r>
          </w:p>
        </w:tc>
        <w:tc>
          <w:tcPr/>
          <w:p>
            <w:pPr>
              <w:pStyle w:val="Compact"/>
              <w:jc w:val="left"/>
            </w:pPr>
            <w:r>
              <w:t xml:space="preserve">100</w:t>
            </w:r>
          </w:p>
        </w:tc>
        <w:tc>
          <w:tcPr/>
          <w:p>
            <w:pPr>
              <w:pStyle w:val="Compact"/>
              <w:jc w:val="left"/>
            </w:pPr>
            <w:r>
              <w:t xml:space="preserve">.40</w:t>
            </w:r>
          </w:p>
        </w:tc>
      </w:tr>
      <w:tr>
        <w:tc>
          <w:tcPr/>
          <w:p>
            <w:pPr>
              <w:pStyle w:val="Compact"/>
              <w:jc w:val="left"/>
            </w:pPr>
            <w:r>
              <w:t xml:space="preserve">B</w:t>
            </w:r>
          </w:p>
        </w:tc>
        <w:tc>
          <w:tcPr/>
          <w:p>
            <w:pPr>
              <w:pStyle w:val="Compact"/>
              <w:jc w:val="left"/>
            </w:pPr>
            <w:r>
              <w:t xml:space="preserve">0</w:t>
            </w:r>
          </w:p>
        </w:tc>
        <w:tc>
          <w:tcPr/>
          <w:p>
            <w:pPr>
              <w:pStyle w:val="Compact"/>
              <w:jc w:val="left"/>
            </w:pPr>
            <w:r>
              <w:t xml:space="preserve">500</w:t>
            </w:r>
          </w:p>
        </w:tc>
        <w:tc>
          <w:tcPr/>
          <w:p>
            <w:pPr>
              <w:pStyle w:val="Compact"/>
              <w:jc w:val="left"/>
            </w:pPr>
            <w:r>
              <w:t xml:space="preserve">.50</w:t>
            </w:r>
          </w:p>
        </w:tc>
      </w:tr>
      <w:tr>
        <w:tc>
          <w:tcPr/>
          <w:p>
            <w:pPr>
              <w:pStyle w:val="Compact"/>
              <w:jc w:val="left"/>
            </w:pPr>
            <w:r>
              <w:t xml:space="preserve">C</w:t>
            </w:r>
          </w:p>
        </w:tc>
        <w:tc>
          <w:tcPr/>
          <w:p>
            <w:pPr>
              <w:pStyle w:val="Compact"/>
              <w:jc w:val="left"/>
            </w:pPr>
            <w:r>
              <w:t xml:space="preserve">500</w:t>
            </w:r>
          </w:p>
        </w:tc>
        <w:tc>
          <w:tcPr/>
          <w:p>
            <w:pPr>
              <w:pStyle w:val="Compact"/>
              <w:jc w:val="left"/>
            </w:pPr>
            <w:r>
              <w:t xml:space="preserve">500</w:t>
            </w:r>
          </w:p>
        </w:tc>
        <w:tc>
          <w:tcPr/>
          <w:p>
            <w:pPr>
              <w:pStyle w:val="Compact"/>
              <w:jc w:val="left"/>
            </w:pPr>
            <w:r>
              <w:t xml:space="preserve">.00</w:t>
            </w:r>
          </w:p>
        </w:tc>
      </w:tr>
      <w:tr>
        <w:tc>
          <w:tcPr/>
          <w:p>
            <w:pPr>
              <w:pStyle w:val="Compact"/>
              <w:jc w:val="left"/>
            </w:pPr>
            <w:r>
              <w:t xml:space="preserve">D</w:t>
            </w:r>
          </w:p>
        </w:tc>
        <w:tc>
          <w:tcPr/>
          <w:p>
            <w:pPr>
              <w:pStyle w:val="Compact"/>
              <w:jc w:val="left"/>
            </w:pPr>
            <w:r>
              <w:t xml:space="preserve">500</w:t>
            </w:r>
          </w:p>
        </w:tc>
        <w:tc>
          <w:tcPr/>
          <w:p>
            <w:pPr>
              <w:pStyle w:val="Compact"/>
              <w:jc w:val="left"/>
            </w:pPr>
            <w:r>
              <w:t xml:space="preserve">200</w:t>
            </w:r>
          </w:p>
        </w:tc>
        <w:tc>
          <w:tcPr/>
          <w:p>
            <w:pPr>
              <w:pStyle w:val="Compact"/>
              <w:jc w:val="left"/>
            </w:pPr>
            <w:r>
              <w:t xml:space="preserve">.30</w:t>
            </w:r>
          </w:p>
        </w:tc>
      </w:tr>
      <w:tr>
        <w:tc>
          <w:tcPr/>
          <w:p>
            <w:pPr>
              <w:pStyle w:val="Compact"/>
              <w:jc w:val="left"/>
            </w:pPr>
            <w:r>
              <w:t xml:space="preserve">E</w:t>
            </w:r>
          </w:p>
        </w:tc>
        <w:tc>
          <w:tcPr/>
          <w:p>
            <w:pPr>
              <w:pStyle w:val="Compact"/>
              <w:jc w:val="left"/>
            </w:pPr>
            <w:r>
              <w:rPr>
                <w:u w:val="single"/>
              </w:rPr>
              <w:t xml:space="preserve">500</w:t>
            </w:r>
          </w:p>
        </w:tc>
        <w:tc>
          <w:tcPr/>
          <w:p>
            <w:pPr>
              <w:pStyle w:val="Compact"/>
              <w:jc w:val="left"/>
            </w:pPr>
            <w:r>
              <w:rPr>
                <w:u w:val="single"/>
              </w:rPr>
              <w:t xml:space="preserve">300</w:t>
            </w:r>
          </w:p>
        </w:tc>
        <w:tc>
          <w:tcPr/>
          <w:p>
            <w:pPr>
              <w:pStyle w:val="Compact"/>
              <w:jc w:val="left"/>
            </w:pPr>
            <w:r>
              <w:rPr>
                <w:u w:val="single"/>
              </w:rPr>
              <w:t xml:space="preserve">.20</w:t>
            </w:r>
          </w:p>
        </w:tc>
      </w:tr>
      <w:tr>
        <w:tc>
          <w:tcPr/>
          <w:p>
            <w:pPr>
              <w:pStyle w:val="Compact"/>
            </w:pPr>
          </w:p>
        </w:tc>
        <w:tc>
          <w:tcPr/>
          <w:p>
            <w:pPr>
              <w:pStyle w:val="Compact"/>
              <w:jc w:val="left"/>
            </w:pPr>
            <w:r>
              <w:t xml:space="preserve">2500</w:t>
            </w:r>
          </w:p>
        </w:tc>
        <w:tc>
          <w:tcPr/>
          <w:p>
            <w:pPr>
              <w:pStyle w:val="Compact"/>
              <w:jc w:val="left"/>
            </w:pPr>
            <w:r>
              <w:t xml:space="preserve">2500</w:t>
            </w:r>
          </w:p>
        </w:tc>
        <w:tc>
          <w:tcPr/>
          <w:p>
            <w:pPr>
              <w:pStyle w:val="Compact"/>
              <w:jc w:val="left"/>
            </w:pPr>
            <w:r>
              <w:t xml:space="preserve">1.40</w:t>
            </w:r>
          </w:p>
        </w:tc>
      </w:tr>
      <w:tr>
        <w:tc>
          <w:tcPr/>
          <w:p>
            <w:pPr>
              <w:pStyle w:val="Compact"/>
            </w:pPr>
          </w:p>
        </w:tc>
        <w:tc>
          <w:tcPr/>
          <w:p>
            <w:pPr>
              <w:pStyle w:val="Compact"/>
            </w:pPr>
          </w:p>
        </w:tc>
        <w:tc>
          <w:tcPr/>
          <w:p>
            <w:pPr>
              <w:pStyle w:val="Compact"/>
              <w:jc w:val="left"/>
            </w:pPr>
            <w:r>
              <w:rPr>
                <w:b/>
                <w:bCs/>
              </w:rPr>
              <w:t xml:space="preserve">Segregation Index</w:t>
            </w:r>
          </w:p>
        </w:tc>
        <w:tc>
          <w:tcPr/>
          <w:p>
            <w:pPr>
              <w:pStyle w:val="Compact"/>
              <w:jc w:val="left"/>
            </w:pPr>
            <w:r>
              <w:t xml:space="preserve">.70</w:t>
            </w:r>
          </w:p>
        </w:tc>
      </w:tr>
    </w:tbl>
    <w:p>
      <w:pPr>
        <w:pStyle w:val="BodyText"/>
      </w:pPr>
      <w:r>
        <w:rPr>
          <w:b/>
          <w:bCs/>
        </w:rPr>
        <w:t xml:space="preserve">The 50-percent point</w:t>
      </w:r>
      <w:r>
        <w:t xml:space="preserve">: Text.</w:t>
      </w:r>
    </w:p>
    <w:p>
      <w:pPr>
        <w:pStyle w:val="BodyText"/>
      </w:pPr>
      <w:r>
        <w:rPr>
          <w:b/>
          <w:bCs/>
        </w:rPr>
        <w:t xml:space="preserve">The 89-percent and 49-percent points</w:t>
      </w:r>
      <w:r>
        <w:t xml:space="preserve">: Text.</w:t>
      </w:r>
    </w:p>
    <w:p>
      <w:pPr>
        <w:pStyle w:val="BodyText"/>
      </w:pPr>
      <w:r>
        <w:rPr>
          <w:b/>
          <w:bCs/>
        </w:rPr>
        <w:t xml:space="preserve">The 25-percent point</w:t>
      </w:r>
      <w:r>
        <w:t xml:space="preserve">: Text.</w:t>
      </w:r>
    </w:p>
    <w:bookmarkEnd w:id="38"/>
    <w:bookmarkEnd w:id="39"/>
    <w:bookmarkStart w:id="40" w:name="discussion"/>
    <w:p>
      <w:pPr>
        <w:pStyle w:val="Heading1"/>
      </w:pPr>
      <w:r>
        <w:t xml:space="preserve">Discussion</w:t>
      </w:r>
    </w:p>
    <w:p>
      <w:pPr>
        <w:pStyle w:val="FirstParagraph"/>
      </w:pPr>
      <w:r>
        <w:t xml:space="preserve">Text.</w:t>
      </w:r>
    </w:p>
    <w:bookmarkEnd w:id="40"/>
    <w:bookmarkStart w:id="41" w:name="conclusion"/>
    <w:p>
      <w:pPr>
        <w:pStyle w:val="Heading1"/>
      </w:pPr>
      <w:r>
        <w:t xml:space="preserve">Conclusion</w:t>
      </w:r>
    </w:p>
    <w:p>
      <w:pPr>
        <w:pStyle w:val="FirstParagraph"/>
      </w:pPr>
      <w:r>
        <w:t xml:space="preserve">Text.</w:t>
      </w:r>
    </w:p>
    <w:p>
      <w:r>
        <w:br w:type="page"/>
      </w:r>
    </w:p>
    <w:bookmarkEnd w:id="41"/>
    <w:bookmarkStart w:id="65" w:name="references"/>
    <w:p>
      <w:pPr>
        <w:pStyle w:val="Heading1"/>
      </w:pPr>
      <w:r>
        <w:t xml:space="preserve">References</w:t>
      </w:r>
    </w:p>
    <w:bookmarkStart w:id="64" w:name="refs"/>
    <w:bookmarkStart w:id="42" w:name="ref-bell1991racial"/>
    <w:p>
      <w:pPr>
        <w:pStyle w:val="Bibliography"/>
      </w:pPr>
      <w:r>
        <w:t xml:space="preserve">Bell, D. (1991). Racial realism.</w:t>
      </w:r>
      <w:r>
        <w:t xml:space="preserve"> </w:t>
      </w:r>
      <w:r>
        <w:rPr>
          <w:i/>
          <w:iCs/>
        </w:rPr>
        <w:t xml:space="preserve">Conn. L. Rev.</w:t>
      </w:r>
      <w:r>
        <w:t xml:space="preserve">,</w:t>
      </w:r>
      <w:r>
        <w:t xml:space="preserve"> </w:t>
      </w:r>
      <w:r>
        <w:rPr>
          <w:i/>
          <w:iCs/>
        </w:rPr>
        <w:t xml:space="preserve">24</w:t>
      </w:r>
      <w:r>
        <w:t xml:space="preserve">, 363.</w:t>
      </w:r>
    </w:p>
    <w:bookmarkEnd w:id="42"/>
    <w:bookmarkStart w:id="43" w:name="ref-bell2004silent"/>
    <w:p>
      <w:pPr>
        <w:pStyle w:val="Bibliography"/>
      </w:pPr>
      <w:r>
        <w:t xml:space="preserve">Bell, D. (2004).</w:t>
      </w:r>
      <w:r>
        <w:t xml:space="preserve"> </w:t>
      </w:r>
      <w:r>
        <w:rPr>
          <w:i/>
          <w:iCs/>
        </w:rPr>
        <w:t xml:space="preserve">Silent covenants: Brown v. Board of education and the unfulfilled hopes for racial reform</w:t>
      </w:r>
      <w:r>
        <w:t xml:space="preserve">. Oxford University Press.</w:t>
      </w:r>
    </w:p>
    <w:bookmarkEnd w:id="43"/>
    <w:bookmarkStart w:id="44" w:name="ref-berry2014examining"/>
    <w:p>
      <w:pPr>
        <w:pStyle w:val="Bibliography"/>
      </w:pPr>
      <w:r>
        <w:t xml:space="preserve">Berry III, R. Q., Ellis, M., &amp; Hughes, S. (2014). Examining a history of failed reforms and recent stories of success: Mathematics education and black learners of mathematics in the united states.</w:t>
      </w:r>
      <w:r>
        <w:t xml:space="preserve"> </w:t>
      </w:r>
      <w:r>
        <w:rPr>
          <w:i/>
          <w:iCs/>
        </w:rPr>
        <w:t xml:space="preserve">Race Ethnicity and Education</w:t>
      </w:r>
      <w:r>
        <w:t xml:space="preserve">,</w:t>
      </w:r>
      <w:r>
        <w:t xml:space="preserve"> </w:t>
      </w:r>
      <w:r>
        <w:rPr>
          <w:i/>
          <w:iCs/>
        </w:rPr>
        <w:t xml:space="preserve">17</w:t>
      </w:r>
      <w:r>
        <w:t xml:space="preserve">(4), 540–568.</w:t>
      </w:r>
    </w:p>
    <w:bookmarkEnd w:id="44"/>
    <w:bookmarkStart w:id="45" w:name="ref-camangian2022social"/>
    <w:p>
      <w:pPr>
        <w:pStyle w:val="Bibliography"/>
      </w:pPr>
      <w:r>
        <w:t xml:space="preserve">Camangian, P., &amp; Cariaga, S. (2022). Social and emotional learning is hegemonic miseducation: Students deserve humanization instead.</w:t>
      </w:r>
      <w:r>
        <w:t xml:space="preserve"> </w:t>
      </w:r>
      <w:r>
        <w:rPr>
          <w:i/>
          <w:iCs/>
        </w:rPr>
        <w:t xml:space="preserve">Race Ethnicity and Education</w:t>
      </w:r>
      <w:r>
        <w:t xml:space="preserve">,</w:t>
      </w:r>
      <w:r>
        <w:t xml:space="preserve"> </w:t>
      </w:r>
      <w:r>
        <w:rPr>
          <w:i/>
          <w:iCs/>
        </w:rPr>
        <w:t xml:space="preserve">25</w:t>
      </w:r>
      <w:r>
        <w:t xml:space="preserve">(7), 901–921.</w:t>
      </w:r>
    </w:p>
    <w:bookmarkEnd w:id="45"/>
    <w:bookmarkStart w:id="46" w:name="ref-castillo2024transforming"/>
    <w:p>
      <w:pPr>
        <w:pStyle w:val="Bibliography"/>
      </w:pPr>
      <w:r>
        <w:t xml:space="preserve">Castillo, W., &amp; Babb, N. (2024). Transforming the future of quantitative educational research: A systematic review of enacting quantCrit.</w:t>
      </w:r>
      <w:r>
        <w:t xml:space="preserve"> </w:t>
      </w:r>
      <w:r>
        <w:rPr>
          <w:i/>
          <w:iCs/>
        </w:rPr>
        <w:t xml:space="preserve">Race Ethnicity and Education</w:t>
      </w:r>
      <w:r>
        <w:t xml:space="preserve">,</w:t>
      </w:r>
      <w:r>
        <w:t xml:space="preserve"> </w:t>
      </w:r>
      <w:r>
        <w:rPr>
          <w:i/>
          <w:iCs/>
        </w:rPr>
        <w:t xml:space="preserve">27</w:t>
      </w:r>
      <w:r>
        <w:t xml:space="preserve">(1), 1–21.</w:t>
      </w:r>
    </w:p>
    <w:bookmarkEnd w:id="46"/>
    <w:bookmarkStart w:id="47" w:name="ref-castillo2022quantcrit"/>
    <w:p>
      <w:pPr>
        <w:pStyle w:val="Bibliography"/>
      </w:pPr>
      <w:r>
        <w:t xml:space="preserve">Castillo, W., &amp; Gillborn, D. (2022). How to</w:t>
      </w:r>
      <w:r>
        <w:t xml:space="preserve"> </w:t>
      </w:r>
      <w:r>
        <w:t xml:space="preserve">“QuantCrit:”</w:t>
      </w:r>
      <w:r>
        <w:t xml:space="preserve"> </w:t>
      </w:r>
      <w:r>
        <w:t xml:space="preserve">Practices and questions for education data researchers and users.</w:t>
      </w:r>
      <w:r>
        <w:t xml:space="preserve"> </w:t>
      </w:r>
      <w:r>
        <w:rPr>
          <w:i/>
          <w:iCs/>
        </w:rPr>
        <w:t xml:space="preserve">Manuscript Under Review</w:t>
      </w:r>
      <w:r>
        <w:t xml:space="preserve">.</w:t>
      </w:r>
    </w:p>
    <w:bookmarkEnd w:id="47"/>
    <w:bookmarkStart w:id="48" w:name="ref-chodrow2017structure"/>
    <w:p>
      <w:pPr>
        <w:pStyle w:val="Bibliography"/>
      </w:pPr>
      <w:r>
        <w:t xml:space="preserve">Chodrow, P. S. (2017). Structure and information in spatial segregation.</w:t>
      </w:r>
      <w:r>
        <w:t xml:space="preserve"> </w:t>
      </w:r>
      <w:r>
        <w:rPr>
          <w:i/>
          <w:iCs/>
        </w:rPr>
        <w:t xml:space="preserve">Proceedings of the National Academy of Sciences</w:t>
      </w:r>
      <w:r>
        <w:t xml:space="preserve">,</w:t>
      </w:r>
      <w:r>
        <w:t xml:space="preserve"> </w:t>
      </w:r>
      <w:r>
        <w:rPr>
          <w:i/>
          <w:iCs/>
        </w:rPr>
        <w:t xml:space="preserve">114</w:t>
      </w:r>
      <w:r>
        <w:t xml:space="preserve">(44), 11591–11596.</w:t>
      </w:r>
    </w:p>
    <w:bookmarkEnd w:id="48"/>
    <w:bookmarkStart w:id="49" w:name="ref-dumas2014losing"/>
    <w:p>
      <w:pPr>
        <w:pStyle w:val="Bibliography"/>
      </w:pPr>
      <w:r>
        <w:t xml:space="preserve">Dumas, M. J. (2014).</w:t>
      </w:r>
      <w:r>
        <w:t xml:space="preserve"> </w:t>
      </w:r>
      <w:r>
        <w:t xml:space="preserve">“Losing an arm”</w:t>
      </w:r>
      <w:r>
        <w:t xml:space="preserve">: Schooling as a site of black suffering.</w:t>
      </w:r>
      <w:r>
        <w:t xml:space="preserve"> </w:t>
      </w:r>
      <w:r>
        <w:rPr>
          <w:i/>
          <w:iCs/>
        </w:rPr>
        <w:t xml:space="preserve">Race Ethnicity and Education</w:t>
      </w:r>
      <w:r>
        <w:t xml:space="preserve">,</w:t>
      </w:r>
      <w:r>
        <w:t xml:space="preserve"> </w:t>
      </w:r>
      <w:r>
        <w:rPr>
          <w:i/>
          <w:iCs/>
        </w:rPr>
        <w:t xml:space="preserve">17</w:t>
      </w:r>
      <w:r>
        <w:t xml:space="preserve">(1), 1–29.</w:t>
      </w:r>
    </w:p>
    <w:bookmarkEnd w:id="49"/>
    <w:bookmarkStart w:id="50" w:name="ref-dumas2016against"/>
    <w:p>
      <w:pPr>
        <w:pStyle w:val="Bibliography"/>
      </w:pPr>
      <w:r>
        <w:t xml:space="preserve">Dumas, M. J. (2016). Against the dark: Antiblackness in education policy and discourse.</w:t>
      </w:r>
      <w:r>
        <w:t xml:space="preserve"> </w:t>
      </w:r>
      <w:r>
        <w:rPr>
          <w:i/>
          <w:iCs/>
        </w:rPr>
        <w:t xml:space="preserve">Theory into Practice</w:t>
      </w:r>
      <w:r>
        <w:t xml:space="preserve">,</w:t>
      </w:r>
      <w:r>
        <w:t xml:space="preserve"> </w:t>
      </w:r>
      <w:r>
        <w:rPr>
          <w:i/>
          <w:iCs/>
        </w:rPr>
        <w:t xml:space="preserve">55</w:t>
      </w:r>
      <w:r>
        <w:t xml:space="preserve">(1), 11–19.</w:t>
      </w:r>
    </w:p>
    <w:bookmarkEnd w:id="50"/>
    <w:bookmarkStart w:id="51" w:name="ref-dumas2016real"/>
    <w:p>
      <w:pPr>
        <w:pStyle w:val="Bibliography"/>
      </w:pPr>
      <w:r>
        <w:t xml:space="preserve">Dumas, M. J., &amp; Ross, K. M. (2016).</w:t>
      </w:r>
      <w:r>
        <w:t xml:space="preserve"> </w:t>
      </w:r>
      <w:r>
        <w:t xml:space="preserve">“Be real black for me”</w:t>
      </w:r>
      <w:r>
        <w:t xml:space="preserve"> </w:t>
      </w:r>
      <w:r>
        <w:t xml:space="preserve">imagining BlackCrit in education.</w:t>
      </w:r>
      <w:r>
        <w:t xml:space="preserve"> </w:t>
      </w:r>
      <w:r>
        <w:rPr>
          <w:i/>
          <w:iCs/>
        </w:rPr>
        <w:t xml:space="preserve">Urban Education</w:t>
      </w:r>
      <w:r>
        <w:t xml:space="preserve">,</w:t>
      </w:r>
      <w:r>
        <w:t xml:space="preserve"> </w:t>
      </w:r>
      <w:r>
        <w:rPr>
          <w:i/>
          <w:iCs/>
        </w:rPr>
        <w:t xml:space="preserve">51</w:t>
      </w:r>
      <w:r>
        <w:t xml:space="preserve">(4), 415–442.</w:t>
      </w:r>
    </w:p>
    <w:bookmarkEnd w:id="51"/>
    <w:bookmarkStart w:id="52" w:name="ref-garcia2018quantcrit"/>
    <w:p>
      <w:pPr>
        <w:pStyle w:val="Bibliography"/>
      </w:pPr>
      <w:r>
        <w:t xml:space="preserve">Garcia, N. M., López, N., &amp; Vélez, V. N. (2018). QuantCrit: Rectifying quantitative methods through critical race theory. In</w:t>
      </w:r>
      <w:r>
        <w:t xml:space="preserve"> </w:t>
      </w:r>
      <w:r>
        <w:rPr>
          <w:i/>
          <w:iCs/>
        </w:rPr>
        <w:t xml:space="preserve">Race ethnicity and education</w:t>
      </w:r>
      <w:r>
        <w:t xml:space="preserve"> </w:t>
      </w:r>
      <w:r>
        <w:t xml:space="preserve">(2; Vol. 21, pp. 149–157). Taylor &amp; Francis.</w:t>
      </w:r>
    </w:p>
    <w:bookmarkEnd w:id="52"/>
    <w:bookmarkStart w:id="53" w:name="ref-giles1974measuring"/>
    <w:p>
      <w:pPr>
        <w:pStyle w:val="Bibliography"/>
      </w:pPr>
      <w:r>
        <w:t xml:space="preserve">Giles, M. W. (1974). Measuring school desegregation.</w:t>
      </w:r>
      <w:r>
        <w:t xml:space="preserve"> </w:t>
      </w:r>
      <w:r>
        <w:rPr>
          <w:i/>
          <w:iCs/>
        </w:rPr>
        <w:t xml:space="preserve">The Journal of Negro Education</w:t>
      </w:r>
      <w:r>
        <w:t xml:space="preserve">,</w:t>
      </w:r>
      <w:r>
        <w:t xml:space="preserve"> </w:t>
      </w:r>
      <w:r>
        <w:rPr>
          <w:i/>
          <w:iCs/>
        </w:rPr>
        <w:t xml:space="preserve">43</w:t>
      </w:r>
      <w:r>
        <w:t xml:space="preserve">(4), 517–523.</w:t>
      </w:r>
    </w:p>
    <w:bookmarkEnd w:id="53"/>
    <w:bookmarkStart w:id="54" w:name="ref-gillborn2023quantcrit"/>
    <w:p>
      <w:pPr>
        <w:pStyle w:val="Bibliography"/>
      </w:pPr>
      <w:r>
        <w:t xml:space="preserve">Gillborn, D., Warmington, P., &amp; Demack, S. (2023). QuantCrit: Education, policy,‘big data’and principles for a critical race theory of statistics. In</w:t>
      </w:r>
      <w:r>
        <w:t xml:space="preserve"> </w:t>
      </w:r>
      <w:r>
        <w:rPr>
          <w:i/>
          <w:iCs/>
        </w:rPr>
        <w:t xml:space="preserve">QuantCrit</w:t>
      </w:r>
      <w:r>
        <w:t xml:space="preserve"> </w:t>
      </w:r>
      <w:r>
        <w:t xml:space="preserve">(pp. 10–31). Routledge.</w:t>
      </w:r>
    </w:p>
    <w:bookmarkEnd w:id="54"/>
    <w:bookmarkStart w:id="55" w:name="ref-king2006black"/>
    <w:p>
      <w:pPr>
        <w:pStyle w:val="Bibliography"/>
      </w:pPr>
      <w:r>
        <w:t xml:space="preserve">King, J. E. (2006).</w:t>
      </w:r>
      <w:r>
        <w:t xml:space="preserve"> </w:t>
      </w:r>
      <w:r>
        <w:rPr>
          <w:i/>
          <w:iCs/>
        </w:rPr>
        <w:t xml:space="preserve">Black education: A transformative research and action agenda for the new century</w:t>
      </w:r>
      <w:r>
        <w:t xml:space="preserve">. Routledge.</w:t>
      </w:r>
    </w:p>
    <w:bookmarkEnd w:id="55"/>
    <w:bookmarkStart w:id="56" w:name="ref-love2019we"/>
    <w:p>
      <w:pPr>
        <w:pStyle w:val="Bibliography"/>
      </w:pPr>
      <w:r>
        <w:t xml:space="preserve">Love, B. L. (2019).</w:t>
      </w:r>
      <w:r>
        <w:t xml:space="preserve"> </w:t>
      </w:r>
      <w:r>
        <w:rPr>
          <w:i/>
          <w:iCs/>
        </w:rPr>
        <w:t xml:space="preserve">We want to do more than survive: Abolitionist teaching and the pursuit of educational freedom</w:t>
      </w:r>
      <w:r>
        <w:t xml:space="preserve">. Beacon press.</w:t>
      </w:r>
    </w:p>
    <w:bookmarkEnd w:id="56"/>
    <w:bookmarkStart w:id="57" w:name="ref-miraya2023clearing"/>
    <w:p>
      <w:pPr>
        <w:pStyle w:val="Bibliography"/>
      </w:pPr>
      <w:r>
        <w:t xml:space="preserve">Miraya Ross, K., &amp; Givens, J. R. (2023). The clearing: On black education studies and the problem of</w:t>
      </w:r>
      <w:r>
        <w:t xml:space="preserve"> </w:t>
      </w:r>
      <w:r>
        <w:t xml:space="preserve">“antiblackness.”</w:t>
      </w:r>
      <w:r>
        <w:t xml:space="preserve"> </w:t>
      </w:r>
      <w:r>
        <w:rPr>
          <w:i/>
          <w:iCs/>
        </w:rPr>
        <w:t xml:space="preserve">Harvard Educational Review</w:t>
      </w:r>
      <w:r>
        <w:t xml:space="preserve">,</w:t>
      </w:r>
      <w:r>
        <w:t xml:space="preserve"> </w:t>
      </w:r>
      <w:r>
        <w:rPr>
          <w:i/>
          <w:iCs/>
        </w:rPr>
        <w:t xml:space="preserve">93</w:t>
      </w:r>
      <w:r>
        <w:t xml:space="preserve">(2), 149–172.</w:t>
      </w:r>
    </w:p>
    <w:bookmarkEnd w:id="57"/>
    <w:bookmarkStart w:id="58" w:name="ref-reardon201460"/>
    <w:p>
      <w:pPr>
        <w:pStyle w:val="Bibliography"/>
      </w:pPr>
      <w:r>
        <w:t xml:space="preserve">Reardon, S. F., &amp; Owens, A. (2014). 60 years after brown: Trends and consequences of school segregation.</w:t>
      </w:r>
      <w:r>
        <w:t xml:space="preserve"> </w:t>
      </w:r>
      <w:r>
        <w:rPr>
          <w:i/>
          <w:iCs/>
        </w:rPr>
        <w:t xml:space="preserve">Annual Review of Sociology</w:t>
      </w:r>
      <w:r>
        <w:t xml:space="preserve">,</w:t>
      </w:r>
      <w:r>
        <w:t xml:space="preserve"> </w:t>
      </w:r>
      <w:r>
        <w:rPr>
          <w:i/>
          <w:iCs/>
        </w:rPr>
        <w:t xml:space="preserve">40</w:t>
      </w:r>
      <w:r>
        <w:t xml:space="preserve">(1), 199–218.</w:t>
      </w:r>
    </w:p>
    <w:bookmarkEnd w:id="58"/>
    <w:bookmarkStart w:id="59" w:name="ref-tabron2023deeper"/>
    <w:p>
      <w:pPr>
        <w:pStyle w:val="Bibliography"/>
      </w:pPr>
      <w:r>
        <w:t xml:space="preserve">Tabron, L. A., &amp; Thomas, A. K. (2023). Deeper than wordplay: A systematic review of critical quantitative approaches in education research (2007–2021).</w:t>
      </w:r>
      <w:r>
        <w:t xml:space="preserve"> </w:t>
      </w:r>
      <w:r>
        <w:rPr>
          <w:i/>
          <w:iCs/>
        </w:rPr>
        <w:t xml:space="preserve">Review of Educational Research</w:t>
      </w:r>
      <w:r>
        <w:t xml:space="preserve">,</w:t>
      </w:r>
      <w:r>
        <w:t xml:space="preserve"> </w:t>
      </w:r>
      <w:r>
        <w:rPr>
          <w:i/>
          <w:iCs/>
        </w:rPr>
        <w:t xml:space="preserve">93</w:t>
      </w:r>
      <w:r>
        <w:t xml:space="preserve">(5), 756–786.</w:t>
      </w:r>
    </w:p>
    <w:bookmarkEnd w:id="59"/>
    <w:bookmarkStart w:id="60" w:name="ref-tillman2008sage"/>
    <w:p>
      <w:pPr>
        <w:pStyle w:val="Bibliography"/>
      </w:pPr>
      <w:r>
        <w:t xml:space="preserve">Tillman, L. C. (2008).</w:t>
      </w:r>
      <w:r>
        <w:t xml:space="preserve"> </w:t>
      </w:r>
      <w:r>
        <w:rPr>
          <w:i/>
          <w:iCs/>
        </w:rPr>
        <w:t xml:space="preserve">The sage handbook of african american education</w:t>
      </w:r>
      <w:r>
        <w:t xml:space="preserve">. Sage Publications.</w:t>
      </w:r>
    </w:p>
    <w:bookmarkEnd w:id="60"/>
    <w:bookmarkStart w:id="61" w:name="ref-toldson2019no"/>
    <w:p>
      <w:pPr>
        <w:pStyle w:val="Bibliography"/>
      </w:pPr>
      <w:r>
        <w:t xml:space="preserve">Toldson, I. A. (2019). No bs (bad stats). In</w:t>
      </w:r>
      <w:r>
        <w:t xml:space="preserve"> </w:t>
      </w:r>
      <w:r>
        <w:rPr>
          <w:i/>
          <w:iCs/>
        </w:rPr>
        <w:t xml:space="preserve">No bs (bad stats)</w:t>
      </w:r>
      <w:r>
        <w:t xml:space="preserve"> </w:t>
      </w:r>
      <w:r>
        <w:t xml:space="preserve">(pp. 3–16). Brill.</w:t>
      </w:r>
    </w:p>
    <w:bookmarkEnd w:id="61"/>
    <w:bookmarkStart w:id="62" w:name="ref-turner2023rupturing"/>
    <w:p>
      <w:pPr>
        <w:pStyle w:val="Bibliography"/>
      </w:pPr>
      <w:r>
        <w:t xml:space="preserve">Turner, B. O. (2023).</w:t>
      </w:r>
      <w:r>
        <w:t xml:space="preserve"> </w:t>
      </w:r>
      <w:r>
        <w:rPr>
          <w:i/>
          <w:iCs/>
        </w:rPr>
        <w:t xml:space="preserve">Rupturing antiblackness in mathematics education research: Blackquantcrit as theory, methodology, &amp; praxis</w:t>
      </w:r>
      <w:r>
        <w:t xml:space="preserve">.</w:t>
      </w:r>
    </w:p>
    <w:bookmarkEnd w:id="62"/>
    <w:bookmarkStart w:id="63" w:name="ref-wells1994perpetuation"/>
    <w:p>
      <w:pPr>
        <w:pStyle w:val="Bibliography"/>
      </w:pPr>
      <w:r>
        <w:t xml:space="preserve">Wells, A. S., &amp; Crain, R. L. (1994). Perpetuation theory and the long-term effects of school desegregation.</w:t>
      </w:r>
      <w:r>
        <w:t xml:space="preserve"> </w:t>
      </w:r>
      <w:r>
        <w:rPr>
          <w:i/>
          <w:iCs/>
        </w:rPr>
        <w:t xml:space="preserve">Review of Educational Research</w:t>
      </w:r>
      <w:r>
        <w:t xml:space="preserve">,</w:t>
      </w:r>
      <w:r>
        <w:t xml:space="preserve"> </w:t>
      </w:r>
      <w:r>
        <w:rPr>
          <w:i/>
          <w:iCs/>
        </w:rPr>
        <w:t xml:space="preserve">64</w:t>
      </w:r>
      <w:r>
        <w:t xml:space="preserve">(4), 531–555.</w:t>
      </w:r>
    </w:p>
    <w:bookmarkEnd w:id="63"/>
    <w:bookmarkEnd w:id="64"/>
    <w:bookmarkEnd w:id="65"/>
    <w:bookmarkStart w:id="66" w:name="appendix"/>
    <w:p>
      <w:pPr>
        <w:pStyle w:val="Heading1"/>
      </w:pPr>
      <w:r>
        <w:t xml:space="preserve">Appendix</w:t>
      </w:r>
    </w:p>
    <w:bookmarkEnd w:id="66"/>
    <w:sectPr w:rsidR="006B250D">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625830"/>
    <w:rsid w:val="006B250D"/>
    <w:rsid w:val="00A47137"/>
    <w:rsid w:val="00A537CD"/>
    <w:rsid w:val="00F1037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Quantification and the Legacy of Brown v. Board: Challenging Traditional Concepts and Approaches</dc:title>
  <dc:creator/>
  <cp:keywords/>
  <dcterms:created xsi:type="dcterms:W3CDTF">2024-11-07T14:02:57Z</dcterms:created>
  <dcterms:modified xsi:type="dcterms:W3CDTF">2024-11-07T14:02:57Z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brown-references.bib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