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School</w:t>
      </w:r>
      <w:r>
        <w:t xml:space="preserve"> </w:t>
      </w:r>
      <w:r>
        <w:t xml:space="preserve">Desegregation:</w:t>
      </w:r>
      <w:r>
        <w:t xml:space="preserve"> </w:t>
      </w:r>
      <w:r>
        <w:t xml:space="preserve">Critical</w:t>
      </w:r>
      <w:r>
        <w:t xml:space="preserve"> </w:t>
      </w:r>
      <w:r>
        <w:t xml:space="preserve">Meditations</w:t>
      </w:r>
      <w:r>
        <w:t xml:space="preserve"> </w:t>
      </w:r>
      <w:r>
        <w:t xml:space="preserve">on</w:t>
      </w:r>
      <w:r>
        <w:t xml:space="preserve"> </w:t>
      </w:r>
      <w:r>
        <w:t xml:space="preserve">Anti-Blackness</w:t>
      </w:r>
      <w:r>
        <w:t xml:space="preserve"> </w:t>
      </w:r>
      <w:r>
        <w:t xml:space="preserve">in</w:t>
      </w:r>
      <w:r>
        <w:t xml:space="preserve"> </w:t>
      </w:r>
      <w:r>
        <w:t xml:space="preserve">the</w:t>
      </w:r>
      <w:r>
        <w:t xml:space="preserve"> </w:t>
      </w:r>
      <w:r>
        <w:t xml:space="preserve">Post</w:t>
      </w:r>
      <w:r>
        <w:t xml:space="preserve"> </w:t>
      </w:r>
      <w:r>
        <w:t xml:space="preserve">Brown</w:t>
      </w:r>
      <w:r>
        <w:t xml:space="preserve"> </w:t>
      </w:r>
      <w:r>
        <w:t xml:space="preserve">Era</w:t>
      </w:r>
    </w:p>
    <w:p>
      <w:r>
        <w:br w:type="page"/>
      </w:r>
    </w:p>
    <w:bookmarkStart w:id="20" w:name="abstract"/>
    <w:p>
      <w:pPr>
        <w:pStyle w:val="Heading1"/>
      </w:pPr>
      <w:r>
        <w:t xml:space="preserve">Abstract</w:t>
      </w:r>
    </w:p>
    <w:p>
      <w:pPr>
        <w:pStyle w:val="FirstParagraph"/>
      </w:pPr>
      <w:r>
        <w:t xml:space="preserve">The practice and process of quantification involves the measurement or numerical expression of attributes related to a specific phenomenon, event, or entity.</w:t>
      </w:r>
      <w:r>
        <w:t xml:space="preserve"> </w:t>
      </w:r>
      <w:r>
        <w:t xml:space="preserve">This article takes a critical computational approach to examining school desegregation and quantification on this 70th anniversary of the 1954</w:t>
      </w:r>
      <w:r>
        <w:t xml:space="preserve"> </w:t>
      </w:r>
      <w:r>
        <w:rPr>
          <w:i/>
          <w:iCs/>
        </w:rPr>
        <w:t xml:space="preserve">Brown v. Board of Education</w:t>
      </w:r>
      <w:r>
        <w:t xml:space="preserve"> </w:t>
      </w:r>
      <w:r>
        <w:t xml:space="preserve">decision.</w:t>
      </w:r>
      <w:r>
        <w:t xml:space="preserve"> </w:t>
      </w:r>
      <w:r>
        <w:t xml:space="preserve">The analysis engages a 1974 article in the</w:t>
      </w:r>
      <w:r>
        <w:t xml:space="preserve"> </w:t>
      </w:r>
      <w:r>
        <w:rPr>
          <w:i/>
          <w:iCs/>
        </w:rPr>
        <w:t xml:space="preserve">Journal of Negro Education</w:t>
      </w:r>
      <w:r>
        <w:t xml:space="preserve"> </w:t>
      </w:r>
      <w:r>
        <w:t xml:space="preserve">by Michael Giles,</w:t>
      </w:r>
      <w:r>
        <w:t xml:space="preserve"> </w:t>
      </w:r>
      <w:r>
        <w:t xml:space="preserve">“</w:t>
      </w:r>
      <w:r>
        <w:t xml:space="preserve">Measuring School Desegregation.</w:t>
      </w:r>
      <w:r>
        <w:t xml:space="preserve">”</w:t>
      </w:r>
      <w:r>
        <w:t xml:space="preserve"> </w:t>
      </w:r>
      <w:r>
        <w:t xml:space="preserve">In Giles’ study, a segregation index was analyzed to frame the required</w:t>
      </w:r>
      <w:r>
        <w:t xml:space="preserve"> </w:t>
      </w:r>
      <w:r>
        <w:t xml:space="preserve">“</w:t>
      </w:r>
      <w:r>
        <w:t xml:space="preserve">movement</w:t>
      </w:r>
      <w:r>
        <w:t xml:space="preserve">”</w:t>
      </w:r>
      <w:r>
        <w:t xml:space="preserve"> </w:t>
      </w:r>
      <w:r>
        <w:t xml:space="preserve">of Black children and youth to help fulfill the perceived promise of</w:t>
      </w:r>
      <w:r>
        <w:t xml:space="preserve"> </w:t>
      </w:r>
      <w:r>
        <w:rPr>
          <w:i/>
          <w:iCs/>
        </w:rPr>
        <w:t xml:space="preserve">Brown</w:t>
      </w:r>
      <w:r>
        <w:t xml:space="preserve">.</w:t>
      </w:r>
      <w:r>
        <w:t xml:space="preserve"> </w:t>
      </w:r>
      <w:r>
        <w:t xml:space="preserve">The present study conducts a critical conceptual replication of Giles’ work situated within a critical quantification framework that incorporates critical theories in Black education.</w:t>
      </w:r>
      <w:r>
        <w:t xml:space="preserve"> </w:t>
      </w:r>
      <w:r>
        <w:t xml:space="preserve">While findings reveals how seemingly comprehensive models and technical language do not fully account for the complex social systems associated with school desegregation in the research literature, they also highlight an apathy in modern scholarship to maintain narratives of hope and survival.</w:t>
      </w:r>
      <w:r>
        <w:t xml:space="preserve"> </w:t>
      </w:r>
      <w:r>
        <w:t xml:space="preserve">Critical quantification, however, provides a series of counter examples that can be leveraged for framing contemporary education policies and research practices.</w:t>
      </w:r>
      <w:r>
        <w:t xml:space="preserve"> </w:t>
      </w:r>
      <w:r>
        <w:t xml:space="preserve">Implications for extending the discourses in quantitative critical theory, or QuantCrit, beyond critical statistical analysis to include spatial data are also provided.</w:t>
      </w:r>
    </w:p>
    <w:p>
      <w:pPr>
        <w:pStyle w:val="BodyText"/>
      </w:pPr>
      <w:r>
        <w:rPr>
          <w:i/>
          <w:iCs/>
        </w:rPr>
        <w:t xml:space="preserve">Keywords</w:t>
      </w:r>
      <w:r>
        <w:t xml:space="preserve">:</w:t>
      </w:r>
      <w:r>
        <w:t xml:space="preserve"> </w:t>
      </w:r>
      <w:r>
        <w:rPr>
          <w:i/>
          <w:iCs/>
        </w:rPr>
        <w:t xml:space="preserve">Brown v. Board of Education</w:t>
      </w:r>
      <w:r>
        <w:t xml:space="preserve">, desegregation, segregation, race, modeling</w:t>
      </w:r>
    </w:p>
    <w:p>
      <w:r>
        <w:br w:type="page"/>
      </w:r>
    </w:p>
    <w:bookmarkEnd w:id="20"/>
    <w:bookmarkStart w:id="21" w:name="introduction"/>
    <w:p>
      <w:pPr>
        <w:pStyle w:val="Heading1"/>
      </w:pPr>
      <w:r>
        <w:t xml:space="preserve">Introduction</w:t>
      </w:r>
    </w:p>
    <w:p>
      <w:pPr>
        <w:pStyle w:val="FirstParagraph"/>
      </w:pPr>
      <w:r>
        <w:t xml:space="preserve">Derrick Bell’s</w:t>
      </w:r>
      <w:r>
        <w:t xml:space="preserve"> </w:t>
      </w:r>
      <w:r>
        <w:rPr>
          <w:i/>
          <w:iCs/>
        </w:rPr>
        <w:t xml:space="preserve">Silent Covenants</w:t>
      </w:r>
      <w:r>
        <w:t xml:space="preserve"> </w:t>
      </w:r>
      <w:r>
        <w:t xml:space="preserve">(Bell, 2004)</w:t>
      </w:r>
      <w:r>
        <w:t xml:space="preserve"> </w:t>
      </w:r>
      <w:r>
        <w:t xml:space="preserve">speaks of the involuntary sacrifices and racial convergences that encode the ongoing realities of inequitable and unjust public policies in the United States.</w:t>
      </w:r>
      <w:r>
        <w:t xml:space="preserve"> </w:t>
      </w:r>
      <w:r>
        <w:t xml:space="preserve">By taking an historical approach to the inadequacy of racial policies, Bell challenges readers to consider nuance in narratives of hope and trust in failed progress that has been maintained</w:t>
      </w:r>
      <w:r>
        <w:t xml:space="preserve"> </w:t>
      </w:r>
      <w:r>
        <w:t xml:space="preserve">“</w:t>
      </w:r>
      <w:r>
        <w:t xml:space="preserve">throughout the history of civil rights policies,</w:t>
      </w:r>
      <w:r>
        <w:t xml:space="preserve">”</w:t>
      </w:r>
      <w:r>
        <w:t xml:space="preserve"> </w:t>
      </w:r>
      <w:r>
        <w:t xml:space="preserve">which Bell notes,</w:t>
      </w:r>
      <w:r>
        <w:t xml:space="preserve"> </w:t>
      </w:r>
      <w:r>
        <w:t xml:space="preserve">“</w:t>
      </w:r>
      <w:r>
        <w:t xml:space="preserve">have been insufficient…to gain real relief from any branch of government</w:t>
      </w:r>
      <w:r>
        <w:t xml:space="preserve">”</w:t>
      </w:r>
      <w:r>
        <w:t xml:space="preserve"> </w:t>
      </w:r>
      <w:r>
        <w:t xml:space="preserve">(p. 49).</w:t>
      </w:r>
      <w:r>
        <w:t xml:space="preserve"> </w:t>
      </w:r>
      <w:r>
        <w:t xml:space="preserve">When considering the injustices that Black people in the United States have and continue to suffer, Bell renders the long shadow of</w:t>
      </w:r>
      <w:r>
        <w:t xml:space="preserve"> </w:t>
      </w:r>
      <w:r>
        <w:rPr>
          <w:i/>
          <w:iCs/>
        </w:rPr>
        <w:t xml:space="preserve">Plessy</w:t>
      </w:r>
      <w:r>
        <w:t xml:space="preserve"> </w:t>
      </w:r>
      <w:r>
        <w:t xml:space="preserve">to pathways beyond the ideation of racial fortuity – or the condition where Black people’s lives are subject to change, at the interplay of interest convergence and racial sacrifice.</w:t>
      </w:r>
      <w:r>
        <w:t xml:space="preserve"> </w:t>
      </w:r>
      <w:r>
        <w:t xml:space="preserve">Here, with racial fortuity, Bell provides an intersectional class critique, connecting to the theme of materialism in his broader work, and challenges, as I argue, scholars to consider how our interests, rather than our moral considerations, drive much of our willingness in contemporary scholarship to not only witness but</w:t>
      </w:r>
      <w:r>
        <w:t xml:space="preserve"> </w:t>
      </w:r>
      <w:r>
        <w:rPr>
          <w:i/>
          <w:iCs/>
        </w:rPr>
        <w:t xml:space="preserve">allow</w:t>
      </w:r>
      <w:r>
        <w:t xml:space="preserve"> </w:t>
      </w:r>
      <w:r>
        <w:t xml:space="preserve">the subjugation of Black children, youth, and families in the United States</w:t>
      </w:r>
      <w:r>
        <w:t xml:space="preserve"> </w:t>
      </w:r>
      <w:r>
        <w:t xml:space="preserve">(Dumas, 2014; Dumas &amp; Ross, 2016; Miraya Ross &amp; Givens, 2023)</w:t>
      </w:r>
      <w:r>
        <w:t xml:space="preserve">.</w:t>
      </w:r>
    </w:p>
    <w:p>
      <w:pPr>
        <w:pStyle w:val="BodyText"/>
      </w:pPr>
      <w:r>
        <w:t xml:space="preserve">This article takes a critical quantification approach to extend, in essence, one of James Baldwin’s famous quotes around progress.</w:t>
      </w:r>
      <w:r>
        <w:t xml:space="preserve"> </w:t>
      </w:r>
      <w:r>
        <w:t xml:space="preserve">In 1989, the American writer, when considering, like Bell and other scholars (see, e.g.,</w:t>
      </w:r>
      <w:r>
        <w:t xml:space="preserve"> </w:t>
      </w:r>
      <w:r>
        <w:t xml:space="preserve">(2014)</w:t>
      </w:r>
      <w:r>
        <w:t xml:space="preserve">, the history of systemic racism and failed progress in U.S. public policies asked:</w:t>
      </w:r>
      <w:r>
        <w:t xml:space="preserve"> </w:t>
      </w:r>
      <w:r>
        <w:t xml:space="preserve">“</w:t>
      </w:r>
      <w:r>
        <w:t xml:space="preserve">You always told me it takes time. It has taken my father’s time, my mother’s time, my uncle’s time, my brothers’ and my sisters’ time, my nieces’ and my nephews’ time. How much time do you want for your</w:t>
      </w:r>
      <w:r>
        <w:t xml:space="preserve"> </w:t>
      </w:r>
      <w:r>
        <w:t xml:space="preserve">‘</w:t>
      </w:r>
      <w:r>
        <w:t xml:space="preserve">progress</w:t>
      </w:r>
      <w:r>
        <w:t xml:space="preserve">’</w:t>
      </w:r>
      <w:r>
        <w:t xml:space="preserve">?</w:t>
      </w:r>
      <w:r>
        <w:t xml:space="preserve">”</w:t>
      </w:r>
    </w:p>
    <w:bookmarkEnd w:id="21"/>
    <w:bookmarkStart w:id="26" w:name="study-frameworks"/>
    <w:p>
      <w:pPr>
        <w:pStyle w:val="Heading1"/>
      </w:pPr>
      <w:r>
        <w:t xml:space="preserve">Study Frameworks</w:t>
      </w:r>
    </w:p>
    <w:bookmarkStart w:id="22" w:name="conceptual-framework"/>
    <w:p>
      <w:pPr>
        <w:pStyle w:val="Heading2"/>
      </w:pPr>
      <w:r>
        <w:t xml:space="preserve">Conceptual framework</w:t>
      </w:r>
    </w:p>
    <w:p>
      <w:pPr>
        <w:pStyle w:val="FirstParagraph"/>
      </w:pPr>
      <w:r>
        <w:t xml:space="preserve">“</w:t>
      </w:r>
      <w:r>
        <w:t xml:space="preserve">Despite the fact that legal and administrative decisions concerning school desegregation have rested increas- ingly on quantitative concepts, little attention has been directed toward the development of a uniform and rigorous method for measuring school desegregation. The purpose of the present article is to suggest such a measure</w:t>
      </w:r>
      <w:r>
        <w:t xml:space="preserve">”</w:t>
      </w:r>
      <w:r>
        <w:t xml:space="preserve"> </w:t>
      </w:r>
      <w:r>
        <w:t xml:space="preserve">(Giles, 1974, p. 516)</w:t>
      </w:r>
      <w:r>
        <w:t xml:space="preserve">.</w:t>
      </w:r>
    </w:p>
    <w:p>
      <w:pPr>
        <w:pStyle w:val="BodyText"/>
      </w:pPr>
      <w:r>
        <w:t xml:space="preserve">Chodrow (2017)</w:t>
      </w:r>
      <w:r>
        <w:t xml:space="preserve"> </w:t>
      </w:r>
      <w:r>
        <w:t xml:space="preserve">notes that we should</w:t>
      </w:r>
      <w:r>
        <w:t xml:space="preserve"> </w:t>
      </w:r>
      <w:r>
        <w:t xml:space="preserve">“</w:t>
      </w:r>
      <w:r>
        <w:t xml:space="preserve">view the problem of learning the structure of segregation as the task of ﬁnding interpretable units of spatial aggregation with boundaries that correspond to demographic transitions. This problem is a form of regionalization—spatially constrained clustering</w:t>
      </w:r>
      <w:r>
        <w:t xml:space="preserve">”</w:t>
      </w:r>
      <w:r>
        <w:t xml:space="preserve"> </w:t>
      </w:r>
      <w:r>
        <w:t xml:space="preserve">(p. 11592).</w:t>
      </w:r>
      <w:r>
        <w:t xml:space="preserve"> </w:t>
      </w:r>
      <w:r>
        <w:t xml:space="preserve">When taken in the context of educational theories, such as</w:t>
      </w:r>
      <w:r>
        <w:t xml:space="preserve"> </w:t>
      </w:r>
      <w:r>
        <w:t xml:space="preserve">Wells &amp; Crain (1994)</w:t>
      </w:r>
      <w:r>
        <w:t xml:space="preserve">, we are challenged to consider the role of critical theories in advanced analytic techniques within social and historical realities of inequity in the diverse narratives on Black education</w:t>
      </w:r>
      <w:r>
        <w:t xml:space="preserve"> </w:t>
      </w:r>
      <w:r>
        <w:t xml:space="preserve">(King, 2006; Miraya Ross &amp; Givens, 2023; Tillman, 2008)</w:t>
      </w:r>
      <w:r>
        <w:t xml:space="preserve">.</w:t>
      </w:r>
    </w:p>
    <w:p>
      <w:pPr>
        <w:pStyle w:val="BodyText"/>
      </w:pPr>
      <w:r>
        <w:t xml:space="preserve">These diverse approaches, then, challenge us to push beyond narratives of hope and survival, towards those that can increasingly dismantle, in the abolitionist tradition, an increasing willingness to allow for some Black children to thrive but not</w:t>
      </w:r>
      <w:r>
        <w:t xml:space="preserve"> </w:t>
      </w:r>
      <w:r>
        <w:rPr>
          <w:i/>
          <w:iCs/>
        </w:rPr>
        <w:t xml:space="preserve">all</w:t>
      </w:r>
      <w:r>
        <w:t xml:space="preserve"> </w:t>
      </w:r>
      <w:r>
        <w:t xml:space="preserve">Black children</w:t>
      </w:r>
      <w:r>
        <w:t xml:space="preserve"> </w:t>
      </w:r>
      <w:r>
        <w:t xml:space="preserve">(Love, 2019)</w:t>
      </w:r>
      <w:r>
        <w:t xml:space="preserve">.</w:t>
      </w:r>
      <w:r>
        <w:t xml:space="preserve"> </w:t>
      </w:r>
      <w:r>
        <w:t xml:space="preserve">These extensions challenge us to refuse a singular focus, for example, on social and emotional learning for Black and other children racialized as non-white</w:t>
      </w:r>
      <w:r>
        <w:t xml:space="preserve"> </w:t>
      </w:r>
      <w:r>
        <w:t xml:space="preserve">(Camangian &amp; Cariaga, 2022)</w:t>
      </w:r>
      <w:r>
        <w:t xml:space="preserve">.</w:t>
      </w:r>
    </w:p>
    <w:bookmarkEnd w:id="22"/>
    <w:bookmarkStart w:id="24" w:name="theoretical-framework"/>
    <w:p>
      <w:pPr>
        <w:pStyle w:val="Heading2"/>
      </w:pPr>
      <w:r>
        <w:t xml:space="preserve">Theoretical framework</w:t>
      </w:r>
    </w:p>
    <w:p>
      <w:pPr>
        <w:pStyle w:val="FirstParagraph"/>
      </w:pPr>
      <w:r>
        <w:t xml:space="preserve">Text.</w:t>
      </w:r>
    </w:p>
    <w:bookmarkStart w:id="23" w:name="whiteness-as-property"/>
    <w:p>
      <w:pPr>
        <w:pStyle w:val="Heading3"/>
      </w:pPr>
      <w:r>
        <w:t xml:space="preserve">Whiteness as property</w:t>
      </w:r>
    </w:p>
    <w:bookmarkEnd w:id="23"/>
    <w:bookmarkEnd w:id="24"/>
    <w:bookmarkStart w:id="25" w:name="analytic-framework"/>
    <w:p>
      <w:pPr>
        <w:pStyle w:val="Heading2"/>
      </w:pPr>
      <w:r>
        <w:t xml:space="preserve">Analytic framework</w:t>
      </w:r>
    </w:p>
    <w:p>
      <w:pPr>
        <w:pStyle w:val="FirstParagraph"/>
      </w:pPr>
      <w:r>
        <w:t xml:space="preserve">Text.</w:t>
      </w:r>
    </w:p>
    <w:p>
      <w:pPr>
        <w:pStyle w:val="BodyText"/>
      </w:pPr>
      <m:oMathPara>
        <m:oMathParaPr>
          <m:jc m:val="center"/>
        </m:oMathParaPr>
        <m:oMath>
          <m:nary>
            <m:naryPr>
              <m:chr m:val="∑"/>
              <m:limLoc m:val="undOvr"/>
              <m:subHide m:val="off"/>
              <m:supHide m:val="on"/>
            </m:naryPr>
            <m:sub>
              <m:r>
                <m:t>i</m:t>
              </m:r>
              <m:r>
                <m:rPr>
                  <m:sty m:val="p"/>
                </m:rPr>
                <m:t>=</m:t>
              </m:r>
              <m:r>
                <m:t>1</m:t>
              </m:r>
            </m:sub>
            <m:sup>
              <m:r>
                <m:t>​</m:t>
              </m:r>
            </m:sup>
            <m:e>
              <m:r>
                <m:rPr>
                  <m:sty m:val="p"/>
                </m:rPr>
                <m:t>|</m:t>
              </m:r>
            </m:e>
          </m:nary>
          <m:f>
            <m:fPr>
              <m:type m:val="bar"/>
            </m:fPr>
            <m:num>
              <m:sSub>
                <m:e>
                  <m:r>
                    <m:t>b</m:t>
                  </m:r>
                </m:e>
                <m:sub>
                  <m:r>
                    <m:t>i</m:t>
                  </m:r>
                </m:sub>
              </m:sSub>
            </m:num>
            <m:den>
              <m:r>
                <m:t>B</m:t>
              </m:r>
            </m:den>
          </m:f>
          <m:r>
            <m:rPr>
              <m:sty m:val="p"/>
            </m:rPr>
            <m:t>−</m:t>
          </m:r>
          <m:f>
            <m:fPr>
              <m:type m:val="bar"/>
            </m:fPr>
            <m:num>
              <m:sSub>
                <m:e>
                  <m:r>
                    <m:t>w</m:t>
                  </m:r>
                </m:e>
                <m:sub>
                  <m:r>
                    <m:t>i</m:t>
                  </m:r>
                </m:sub>
              </m:sSub>
            </m:num>
            <m:den>
              <m:r>
                <m:t>W</m:t>
              </m:r>
            </m:den>
          </m:f>
          <m:r>
            <m:rPr>
              <m:sty m:val="p"/>
            </m:rPr>
            <m:t>|</m:t>
          </m:r>
        </m:oMath>
      </m:oMathPara>
    </w:p>
    <w:p>
      <w:pPr>
        <w:pStyle w:val="FirstParagraph"/>
      </w:pPr>
      <m:oMath>
        <m:r>
          <m:t>R</m:t>
        </m:r>
        <m:sSub>
          <m:e>
            <m:r>
              <m:t>B</m:t>
            </m:r>
          </m:e>
          <m:sub>
            <m:r>
              <m:t>i</m:t>
            </m:r>
          </m:sub>
        </m:sSub>
      </m:oMath>
      <w:r>
        <w:t xml:space="preserve"> </w:t>
      </w:r>
      <w:r>
        <w:t xml:space="preserve">refers to those students who are racialized as Black, whereas</w:t>
      </w:r>
      <w:r>
        <w:t xml:space="preserve"> </w:t>
      </w:r>
      <m:oMath>
        <m:r>
          <m:t>R</m:t>
        </m:r>
        <m:sSub>
          <m:e>
            <m:r>
              <m:t>W</m:t>
            </m:r>
          </m:e>
          <m:sub>
            <m:r>
              <m:t>i</m:t>
            </m:r>
          </m:sub>
        </m:sSub>
      </m:oMath>
      <w:r>
        <w:t xml:space="preserve"> </w:t>
      </w:r>
      <w:r>
        <w:t xml:space="preserve">refers to those students who are racialized as White, and the honorary whites.</w:t>
      </w:r>
    </w:p>
    <w:p>
      <w:pPr>
        <w:pStyle w:val="BodyText"/>
      </w:pPr>
      <m:oMathPara>
        <m:oMathParaPr>
          <m:jc m:val="center"/>
        </m:oMathParaPr>
        <m:oMath>
          <m:nary>
            <m:naryPr>
              <m:chr m:val="∑"/>
              <m:limLoc m:val="undOvr"/>
              <m:subHide m:val="off"/>
              <m:supHide m:val="on"/>
            </m:naryPr>
            <m:sub>
              <m:r>
                <m:t>i</m:t>
              </m:r>
              <m:r>
                <m:rPr>
                  <m:sty m:val="p"/>
                </m:rPr>
                <m:t>=</m:t>
              </m:r>
              <m:r>
                <m:t>1</m:t>
              </m:r>
            </m:sub>
            <m:sup>
              <m:r>
                <m:t>​</m:t>
              </m:r>
            </m:sup>
            <m:e>
              <m:r>
                <m:rPr>
                  <m:sty m:val="p"/>
                </m:rPr>
                <m:t>|</m:t>
              </m:r>
            </m:e>
          </m:nary>
          <m:f>
            <m:fPr>
              <m:type m:val="bar"/>
            </m:fPr>
            <m:num>
              <m:r>
                <m:t>R</m:t>
              </m:r>
              <m:sSub>
                <m:e>
                  <m:r>
                    <m:t>b</m:t>
                  </m:r>
                </m:e>
                <m:sub>
                  <m:r>
                    <m:t>i</m:t>
                  </m:r>
                </m:sub>
              </m:sSub>
            </m:num>
            <m:den>
              <m:r>
                <m:t>R</m:t>
              </m:r>
              <m:r>
                <m:t>B</m:t>
              </m:r>
            </m:den>
          </m:f>
          <m:r>
            <m:rPr>
              <m:sty m:val="p"/>
            </m:rPr>
            <m:t>−</m:t>
          </m:r>
          <m:f>
            <m:fPr>
              <m:type m:val="bar"/>
            </m:fPr>
            <m:num>
              <m:r>
                <m:t>R</m:t>
              </m:r>
              <m:sSub>
                <m:e>
                  <m:r>
                    <m:t>w</m:t>
                  </m:r>
                </m:e>
                <m:sub>
                  <m:r>
                    <m:t>i</m:t>
                  </m:r>
                </m:sub>
              </m:sSub>
            </m:num>
            <m:den>
              <m:r>
                <m:t>R</m:t>
              </m:r>
              <m:r>
                <m:t>W</m:t>
              </m:r>
            </m:den>
          </m:f>
          <m:r>
            <m:rPr>
              <m:sty m:val="p"/>
            </m:rPr>
            <m:t>|</m:t>
          </m:r>
        </m:oMath>
      </m:oMathPara>
    </w:p>
    <w:bookmarkEnd w:id="25"/>
    <w:bookmarkEnd w:id="26"/>
    <w:bookmarkStart w:id="32" w:name="data-and-methods"/>
    <w:p>
      <w:pPr>
        <w:pStyle w:val="Heading1"/>
      </w:pPr>
      <w:r>
        <w:t xml:space="preserve">Data and Methods</w:t>
      </w:r>
    </w:p>
    <w:p>
      <w:pPr>
        <w:pStyle w:val="FirstParagraph"/>
      </w:pPr>
      <w:r>
        <w:t xml:space="preserve">Text.</w:t>
      </w:r>
    </w:p>
    <w:bookmarkStart w:id="27" w:name="data"/>
    <w:p>
      <w:pPr>
        <w:pStyle w:val="Heading2"/>
      </w:pPr>
      <w:r>
        <w:t xml:space="preserve">Data</w:t>
      </w:r>
    </w:p>
    <w:p>
      <w:pPr>
        <w:pStyle w:val="FirstParagraph"/>
      </w:pPr>
      <w:r>
        <w:t xml:space="preserve">Text.</w:t>
      </w:r>
    </w:p>
    <w:bookmarkEnd w:id="27"/>
    <w:bookmarkStart w:id="31" w:name="methods"/>
    <w:p>
      <w:pPr>
        <w:pStyle w:val="Heading2"/>
      </w:pPr>
      <w:r>
        <w:t xml:space="preserve">Methods</w:t>
      </w:r>
    </w:p>
    <w:p>
      <w:pPr>
        <w:pStyle w:val="FirstParagraph"/>
      </w:pPr>
      <w:r>
        <w:t xml:space="preserve">Conceptual replication.</w:t>
      </w:r>
    </w:p>
    <w:bookmarkStart w:id="28" w:name="schools-as-blocks"/>
    <w:p>
      <w:pPr>
        <w:pStyle w:val="Heading3"/>
      </w:pPr>
      <w:r>
        <w:t xml:space="preserve">Schools as Blocks</w:t>
      </w:r>
    </w:p>
    <w:bookmarkEnd w:id="28"/>
    <w:bookmarkStart w:id="29" w:name="students-as-households"/>
    <w:p>
      <w:pPr>
        <w:pStyle w:val="Heading3"/>
      </w:pPr>
      <w:r>
        <w:t xml:space="preserve">Students as Households</w:t>
      </w:r>
    </w:p>
    <w:bookmarkEnd w:id="29"/>
    <w:bookmarkStart w:id="30" w:name="information"/>
    <w:p>
      <w:pPr>
        <w:pStyle w:val="Heading3"/>
      </w:pPr>
      <w:r>
        <w:t xml:space="preserve">Information</w:t>
      </w:r>
    </w:p>
    <w:p>
      <w:pPr>
        <w:pStyle w:val="FirstParagraph"/>
      </w:pPr>
      <w:r>
        <w:t xml:space="preserve">More advanced analyses may follow Chodrow</w:t>
      </w:r>
      <w:r>
        <w:t xml:space="preserve"> </w:t>
      </w:r>
      <w:r>
        <w:t xml:space="preserve">(2017)</w:t>
      </w:r>
      <w:r>
        <w:t xml:space="preserve"> </w:t>
      </w:r>
      <w:r>
        <w:t xml:space="preserve">to consider the ways that complex information may inform our insights about framing a measure of dissimilarity in residential segregation to a measure of schools and students.</w:t>
      </w:r>
    </w:p>
    <w:bookmarkEnd w:id="30"/>
    <w:bookmarkEnd w:id="31"/>
    <w:bookmarkEnd w:id="32"/>
    <w:bookmarkStart w:id="35" w:name="analysis"/>
    <w:p>
      <w:pPr>
        <w:pStyle w:val="Heading1"/>
      </w:pPr>
      <w:r>
        <w:t xml:space="preserve">Analysis</w:t>
      </w:r>
    </w:p>
    <w:p>
      <w:pPr>
        <w:pStyle w:val="FirstParagraph"/>
      </w:pPr>
      <w:r>
        <w:t xml:space="preserve">Text.</w:t>
      </w:r>
    </w:p>
    <w:p>
      <w:pPr>
        <w:pStyle w:val="TableCaption"/>
      </w:pPr>
      <w:r>
        <w:t xml:space="preserve">Table. Segregation Index in a Completely Segregated School System</w:t>
      </w:r>
    </w:p>
    <w:tbl>
      <w:tblPr>
        <w:tblStyle w:val="Table"/>
        <w:tblW w:type="pct" w:w="5000"/>
        <w:tblLayout w:type="fixed"/>
        <w:tblLook w:firstRow="1" w:lastRow="0" w:firstColumn="0" w:lastColumn="0" w:noHBand="0" w:noVBand="0" w:val="0020"/>
        <w:tblCaption w:val="Table. Segregation Index in a Completely Segregated School System"/>
      </w:tblPr>
      <w:tblGrid>
        <w:gridCol w:w="931"/>
        <w:gridCol w:w="2096"/>
        <w:gridCol w:w="2678"/>
        <w:gridCol w:w="2212"/>
      </w:tblGrid>
      <w:tr>
        <w:trPr>
          <w:tblHeader w:val="on"/>
        </w:trPr>
        <w:tc>
          <w:tcPr/>
          <w:p>
            <w:pPr>
              <w:pStyle w:val="Compact"/>
              <w:jc w:val="left"/>
            </w:pPr>
            <w:r>
              <w:t xml:space="preserve">School</w:t>
            </w:r>
          </w:p>
        </w:tc>
        <w:tc>
          <w:tcPr/>
          <w:p>
            <w:pPr>
              <w:pStyle w:val="Compact"/>
              <w:jc w:val="left"/>
            </w:pPr>
            <w:r>
              <w:t xml:space="preserve">White Enrollment</w:t>
            </w:r>
          </w:p>
        </w:tc>
        <w:tc>
          <w:tcPr/>
          <w:p>
            <w:pPr>
              <w:pStyle w:val="Compact"/>
              <w:jc w:val="left"/>
            </w:pPr>
            <w:r>
              <w:t xml:space="preserve">Non-White Enrollment</w:t>
            </w:r>
          </w:p>
        </w:tc>
        <w:tc>
          <w:tcPr/>
          <w:p>
            <w:pPr>
              <w:pStyle w:val="Compact"/>
              <w:jc w:val="left"/>
            </w:pPr>
            <w:r>
              <w:t xml:space="preserve">Difference</w:t>
            </w:r>
          </w:p>
        </w:tc>
      </w:tr>
      <w:tr>
        <w:tc>
          <w:tcPr/>
          <w:p>
            <w:pPr>
              <w:pStyle w:val="Compact"/>
              <w:jc w:val="left"/>
            </w:pPr>
            <w:r>
              <w:t xml:space="preserve">A</w:t>
            </w:r>
          </w:p>
        </w:tc>
        <w:tc>
          <w:tcPr/>
          <w:p>
            <w:pPr>
              <w:pStyle w:val="Compact"/>
              <w:jc w:val="left"/>
            </w:pPr>
            <w:r>
              <w:t xml:space="preserve">500</w:t>
            </w:r>
          </w:p>
        </w:tc>
        <w:tc>
          <w:tcPr/>
          <w:p>
            <w:pPr>
              <w:pStyle w:val="Compact"/>
              <w:jc w:val="left"/>
            </w:pPr>
            <w:r>
              <w:t xml:space="preserve">0</w:t>
            </w:r>
          </w:p>
        </w:tc>
        <w:tc>
          <w:tcPr/>
          <w:p>
            <w:pPr>
              <w:pStyle w:val="Compact"/>
              <w:jc w:val="left"/>
            </w:pPr>
            <w:r>
              <w:t xml:space="preserve">.50</w:t>
            </w:r>
          </w:p>
        </w:tc>
      </w:tr>
      <w:tr>
        <w:tc>
          <w:tcPr/>
          <w:p>
            <w:pPr>
              <w:pStyle w:val="Compact"/>
              <w:jc w:val="left"/>
            </w:pPr>
            <w:r>
              <w:t xml:space="preserve">B</w:t>
            </w:r>
          </w:p>
        </w:tc>
        <w:tc>
          <w:tcPr/>
          <w:p>
            <w:pPr>
              <w:pStyle w:val="Compact"/>
              <w:jc w:val="left"/>
            </w:pPr>
            <w:r>
              <w:t xml:space="preserve">500</w:t>
            </w:r>
          </w:p>
        </w:tc>
        <w:tc>
          <w:tcPr/>
          <w:p>
            <w:pPr>
              <w:pStyle w:val="Compact"/>
              <w:jc w:val="left"/>
            </w:pPr>
            <w:r>
              <w:t xml:space="preserve">500</w:t>
            </w:r>
          </w:p>
        </w:tc>
        <w:tc>
          <w:tcPr/>
          <w:p>
            <w:pPr>
              <w:pStyle w:val="Compact"/>
              <w:jc w:val="left"/>
            </w:pPr>
            <w:r>
              <w:t xml:space="preserve">.00</w:t>
            </w:r>
          </w:p>
        </w:tc>
      </w:tr>
      <w:tr>
        <w:tc>
          <w:tcPr/>
          <w:p>
            <w:pPr>
              <w:pStyle w:val="Compact"/>
              <w:jc w:val="left"/>
            </w:pPr>
            <w:r>
              <w:t xml:space="preserve">C</w:t>
            </w:r>
          </w:p>
        </w:tc>
        <w:tc>
          <w:tcPr/>
          <w:p>
            <w:pPr>
              <w:pStyle w:val="Compact"/>
              <w:jc w:val="left"/>
            </w:pPr>
            <w:r>
              <w:t xml:space="preserve">500</w:t>
            </w:r>
          </w:p>
        </w:tc>
        <w:tc>
          <w:tcPr/>
          <w:p>
            <w:pPr>
              <w:pStyle w:val="Compact"/>
              <w:jc w:val="left"/>
            </w:pPr>
            <w:r>
              <w:t xml:space="preserve">0</w:t>
            </w:r>
          </w:p>
        </w:tc>
        <w:tc>
          <w:tcPr/>
          <w:p>
            <w:pPr>
              <w:pStyle w:val="Compact"/>
              <w:jc w:val="left"/>
            </w:pPr>
            <w:r>
              <w:t xml:space="preserve">.50</w:t>
            </w:r>
          </w:p>
        </w:tc>
      </w:tr>
      <w:tr>
        <w:tc>
          <w:tcPr/>
          <w:p>
            <w:pPr>
              <w:pStyle w:val="Compact"/>
              <w:jc w:val="left"/>
            </w:pPr>
            <w:r>
              <w:t xml:space="preserve">D</w:t>
            </w:r>
          </w:p>
        </w:tc>
        <w:tc>
          <w:tcPr/>
          <w:p>
            <w:pPr>
              <w:pStyle w:val="Compact"/>
              <w:jc w:val="left"/>
            </w:pPr>
            <w:r>
              <w:t xml:space="preserve">0</w:t>
            </w:r>
          </w:p>
        </w:tc>
        <w:tc>
          <w:tcPr/>
          <w:p>
            <w:pPr>
              <w:pStyle w:val="Compact"/>
              <w:jc w:val="left"/>
            </w:pPr>
            <w:r>
              <w:t xml:space="preserve">500</w:t>
            </w:r>
          </w:p>
        </w:tc>
        <w:tc>
          <w:tcPr/>
          <w:p>
            <w:pPr>
              <w:pStyle w:val="Compact"/>
              <w:jc w:val="left"/>
            </w:pPr>
            <w:r>
              <w:t xml:space="preserve">.50</w:t>
            </w:r>
          </w:p>
        </w:tc>
      </w:tr>
      <w:tr>
        <w:tc>
          <w:tcPr/>
          <w:p>
            <w:pPr>
              <w:pStyle w:val="Compact"/>
              <w:jc w:val="left"/>
            </w:pPr>
            <w:r>
              <w:t xml:space="preserve">E</w:t>
            </w:r>
          </w:p>
        </w:tc>
        <w:tc>
          <w:tcPr/>
          <w:p>
            <w:pPr>
              <w:pStyle w:val="Compact"/>
              <w:jc w:val="left"/>
            </w:pPr>
            <w:r>
              <w:rPr>
                <w:u w:val="single"/>
              </w:rPr>
              <w:t xml:space="preserve">0</w:t>
            </w:r>
          </w:p>
        </w:tc>
        <w:tc>
          <w:tcPr/>
          <w:p>
            <w:pPr>
              <w:pStyle w:val="Compact"/>
              <w:jc w:val="left"/>
            </w:pPr>
            <w:r>
              <w:rPr>
                <w:u w:val="single"/>
              </w:rPr>
              <w:t xml:space="preserve">500</w:t>
            </w:r>
          </w:p>
        </w:tc>
        <w:tc>
          <w:tcPr/>
          <w:p>
            <w:pPr>
              <w:pStyle w:val="Compact"/>
              <w:jc w:val="left"/>
            </w:pPr>
            <w:r>
              <w:rPr>
                <w:u w:val="single"/>
              </w:rPr>
              <w:t xml:space="preserve">.50</w:t>
            </w:r>
          </w:p>
        </w:tc>
      </w:tr>
      <w:tr>
        <w:tc>
          <w:tcPr/>
          <w:p>
            <w:pPr>
              <w:pStyle w:val="Compact"/>
            </w:pPr>
          </w:p>
        </w:tc>
        <w:tc>
          <w:tcPr/>
          <w:p>
            <w:pPr>
              <w:pStyle w:val="Compact"/>
              <w:jc w:val="left"/>
            </w:pPr>
            <w:r>
              <w:t xml:space="preserve">1500</w:t>
            </w:r>
          </w:p>
        </w:tc>
        <w:tc>
          <w:tcPr/>
          <w:p>
            <w:pPr>
              <w:pStyle w:val="Compact"/>
              <w:jc w:val="left"/>
            </w:pPr>
            <w:r>
              <w:t xml:space="preserve">1500</w:t>
            </w:r>
          </w:p>
        </w:tc>
        <w:tc>
          <w:tcPr/>
          <w:p>
            <w:pPr>
              <w:pStyle w:val="Compact"/>
              <w:jc w:val="left"/>
            </w:pPr>
            <w:r>
              <w:t xml:space="preserve">2.00</w:t>
            </w:r>
          </w:p>
        </w:tc>
      </w:tr>
      <w:tr>
        <w:tc>
          <w:tcPr/>
          <w:p>
            <w:pPr>
              <w:pStyle w:val="Compact"/>
            </w:pPr>
          </w:p>
        </w:tc>
        <w:tc>
          <w:tcPr/>
          <w:p>
            <w:pPr>
              <w:pStyle w:val="Compact"/>
            </w:pPr>
          </w:p>
        </w:tc>
        <w:tc>
          <w:tcPr/>
          <w:p>
            <w:pPr>
              <w:pStyle w:val="Compact"/>
              <w:jc w:val="left"/>
            </w:pPr>
            <w:r>
              <w:rPr>
                <w:b/>
                <w:bCs/>
              </w:rPr>
              <w:t xml:space="preserve">Segregation Index</w:t>
            </w:r>
          </w:p>
        </w:tc>
        <w:tc>
          <w:tcPr/>
          <w:p>
            <w:pPr>
              <w:pStyle w:val="Compact"/>
              <w:jc w:val="left"/>
            </w:pPr>
            <w:r>
              <w:t xml:space="preserve">1.00</w:t>
            </w:r>
          </w:p>
        </w:tc>
      </w:tr>
    </w:tbl>
    <w:bookmarkStart w:id="33" w:name="zero-point"/>
    <w:p>
      <w:pPr>
        <w:pStyle w:val="Heading2"/>
      </w:pPr>
      <w:r>
        <w:t xml:space="preserve">Zero point</w:t>
      </w:r>
    </w:p>
    <w:p>
      <w:pPr>
        <w:pStyle w:val="FirstParagraph"/>
      </w:pPr>
      <w:r>
        <w:t xml:space="preserve">“</w:t>
      </w:r>
      <w:r>
        <w:t xml:space="preserve">Determining what condition or conditions constitute desegregation for a school district</w:t>
      </w:r>
      <w:r>
        <w:t xml:space="preserve">”</w:t>
      </w:r>
      <w:r>
        <w:t xml:space="preserve"> </w:t>
      </w:r>
      <w:r>
        <w:t xml:space="preserve">(Giles, 1974, p. 518)</w:t>
      </w:r>
    </w:p>
    <w:p>
      <w:pPr>
        <w:pStyle w:val="BodyText"/>
      </w:pPr>
      <w:r>
        <w:t xml:space="preserve">Racial composition - Adam Clayton Powell in the language of the Massachusetts Act</w:t>
      </w:r>
      <w:r>
        <w:t xml:space="preserve"> </w:t>
      </w:r>
      <w:r>
        <w:t xml:space="preserve">(</w:t>
      </w:r>
      <w:r>
        <w:rPr>
          <w:b/>
          <w:bCs/>
        </w:rPr>
        <w:t xml:space="preserve">giles519?</w:t>
      </w:r>
      <w:r>
        <w:t xml:space="preserve">)</w:t>
      </w:r>
    </w:p>
    <w:p>
      <w:pPr>
        <w:pStyle w:val="BodyText"/>
      </w:pPr>
      <w:r>
        <w:t xml:space="preserve">Text.</w:t>
      </w:r>
    </w:p>
    <w:p>
      <w:pPr>
        <w:pStyle w:val="TableCaption"/>
      </w:pPr>
      <w:r>
        <w:t xml:space="preserve">Table. Segregation Index in a Seemingly Desegregated School System</w:t>
      </w:r>
    </w:p>
    <w:tbl>
      <w:tblPr>
        <w:tblStyle w:val="Table"/>
        <w:tblW w:type="pct" w:w="5000"/>
        <w:tblLayout w:type="fixed"/>
        <w:tblLook w:firstRow="1" w:lastRow="0" w:firstColumn="0" w:lastColumn="0" w:noHBand="0" w:noVBand="0" w:val="0020"/>
        <w:tblCaption w:val="Table. Segregation Index in a Seemingly Desegregated School System"/>
      </w:tblPr>
      <w:tblGrid>
        <w:gridCol w:w="918"/>
        <w:gridCol w:w="2180"/>
        <w:gridCol w:w="2640"/>
        <w:gridCol w:w="2180"/>
      </w:tblGrid>
      <w:tr>
        <w:trPr>
          <w:tblHeader w:val="on"/>
        </w:trPr>
        <w:tc>
          <w:tcPr/>
          <w:p>
            <w:pPr>
              <w:pStyle w:val="Compact"/>
              <w:jc w:val="left"/>
            </w:pPr>
            <w:r>
              <w:t xml:space="preserve">School</w:t>
            </w:r>
          </w:p>
        </w:tc>
        <w:tc>
          <w:tcPr/>
          <w:p>
            <w:pPr>
              <w:pStyle w:val="Compact"/>
              <w:jc w:val="left"/>
            </w:pPr>
            <w:r>
              <w:t xml:space="preserve">White Enrollment</w:t>
            </w:r>
          </w:p>
        </w:tc>
        <w:tc>
          <w:tcPr/>
          <w:p>
            <w:pPr>
              <w:pStyle w:val="Compact"/>
              <w:jc w:val="left"/>
            </w:pPr>
            <w:r>
              <w:t xml:space="preserve">Non-White Enrollment</w:t>
            </w:r>
          </w:p>
        </w:tc>
        <w:tc>
          <w:tcPr/>
          <w:p>
            <w:pPr>
              <w:pStyle w:val="Compact"/>
              <w:jc w:val="left"/>
            </w:pPr>
            <w:r>
              <w:t xml:space="preserve">Difference</w:t>
            </w:r>
          </w:p>
        </w:tc>
      </w:tr>
      <w:tr>
        <w:tc>
          <w:tcPr/>
          <w:p>
            <w:pPr>
              <w:pStyle w:val="Compact"/>
              <w:jc w:val="left"/>
            </w:pPr>
            <w:r>
              <w:t xml:space="preserve">A</w:t>
            </w:r>
          </w:p>
        </w:tc>
        <w:tc>
          <w:tcPr/>
          <w:p>
            <w:pPr>
              <w:pStyle w:val="Compact"/>
              <w:jc w:val="left"/>
            </w:pPr>
            <w:r>
              <w:t xml:space="preserve">500</w:t>
            </w:r>
          </w:p>
        </w:tc>
        <w:tc>
          <w:tcPr/>
          <w:p>
            <w:pPr>
              <w:pStyle w:val="Compact"/>
              <w:jc w:val="left"/>
            </w:pPr>
            <w:r>
              <w:t xml:space="preserve">500</w:t>
            </w:r>
          </w:p>
        </w:tc>
        <w:tc>
          <w:tcPr/>
          <w:p>
            <w:pPr>
              <w:pStyle w:val="Compact"/>
              <w:jc w:val="left"/>
            </w:pPr>
            <w:r>
              <w:t xml:space="preserve">.00</w:t>
            </w:r>
          </w:p>
        </w:tc>
      </w:tr>
      <w:tr>
        <w:tc>
          <w:tcPr/>
          <w:p>
            <w:pPr>
              <w:pStyle w:val="Compact"/>
              <w:jc w:val="left"/>
            </w:pPr>
            <w:r>
              <w:t xml:space="preserve">B</w:t>
            </w:r>
          </w:p>
        </w:tc>
        <w:tc>
          <w:tcPr/>
          <w:p>
            <w:pPr>
              <w:pStyle w:val="Compact"/>
              <w:jc w:val="left"/>
            </w:pPr>
            <w:r>
              <w:t xml:space="preserve">500</w:t>
            </w:r>
          </w:p>
        </w:tc>
        <w:tc>
          <w:tcPr/>
          <w:p>
            <w:pPr>
              <w:pStyle w:val="Compact"/>
              <w:jc w:val="left"/>
            </w:pPr>
            <w:r>
              <w:t xml:space="preserve">500</w:t>
            </w:r>
          </w:p>
        </w:tc>
        <w:tc>
          <w:tcPr/>
          <w:p>
            <w:pPr>
              <w:pStyle w:val="Compact"/>
              <w:jc w:val="left"/>
            </w:pPr>
            <w:r>
              <w:t xml:space="preserve">.00</w:t>
            </w:r>
          </w:p>
        </w:tc>
      </w:tr>
      <w:tr>
        <w:tc>
          <w:tcPr/>
          <w:p>
            <w:pPr>
              <w:pStyle w:val="Compact"/>
              <w:jc w:val="left"/>
            </w:pPr>
            <w:r>
              <w:t xml:space="preserve">C</w:t>
            </w:r>
          </w:p>
        </w:tc>
        <w:tc>
          <w:tcPr/>
          <w:p>
            <w:pPr>
              <w:pStyle w:val="Compact"/>
              <w:jc w:val="left"/>
            </w:pPr>
            <w:r>
              <w:t xml:space="preserve">500</w:t>
            </w:r>
          </w:p>
        </w:tc>
        <w:tc>
          <w:tcPr/>
          <w:p>
            <w:pPr>
              <w:pStyle w:val="Compact"/>
              <w:jc w:val="left"/>
            </w:pPr>
            <w:r>
              <w:t xml:space="preserve">500</w:t>
            </w:r>
          </w:p>
        </w:tc>
        <w:tc>
          <w:tcPr/>
          <w:p>
            <w:pPr>
              <w:pStyle w:val="Compact"/>
              <w:jc w:val="left"/>
            </w:pPr>
            <w:r>
              <w:t xml:space="preserve">.00</w:t>
            </w:r>
          </w:p>
        </w:tc>
      </w:tr>
      <w:tr>
        <w:tc>
          <w:tcPr/>
          <w:p>
            <w:pPr>
              <w:pStyle w:val="Compact"/>
              <w:jc w:val="left"/>
            </w:pPr>
            <w:r>
              <w:t xml:space="preserve">D</w:t>
            </w:r>
          </w:p>
        </w:tc>
        <w:tc>
          <w:tcPr/>
          <w:p>
            <w:pPr>
              <w:pStyle w:val="Compact"/>
              <w:jc w:val="left"/>
            </w:pPr>
            <w:r>
              <w:t xml:space="preserve">500</w:t>
            </w:r>
          </w:p>
        </w:tc>
        <w:tc>
          <w:tcPr/>
          <w:p>
            <w:pPr>
              <w:pStyle w:val="Compact"/>
              <w:jc w:val="left"/>
            </w:pPr>
            <w:r>
              <w:t xml:space="preserve">500</w:t>
            </w:r>
          </w:p>
        </w:tc>
        <w:tc>
          <w:tcPr/>
          <w:p>
            <w:pPr>
              <w:pStyle w:val="Compact"/>
              <w:jc w:val="left"/>
            </w:pPr>
            <w:r>
              <w:t xml:space="preserve">.00</w:t>
            </w:r>
          </w:p>
        </w:tc>
      </w:tr>
      <w:tr>
        <w:tc>
          <w:tcPr/>
          <w:p>
            <w:pPr>
              <w:pStyle w:val="Compact"/>
              <w:jc w:val="left"/>
            </w:pPr>
            <w:r>
              <w:t xml:space="preserve">E</w:t>
            </w:r>
          </w:p>
        </w:tc>
        <w:tc>
          <w:tcPr/>
          <w:p>
            <w:pPr>
              <w:pStyle w:val="Compact"/>
              <w:jc w:val="left"/>
            </w:pPr>
            <w:r>
              <w:rPr>
                <w:u w:val="single"/>
              </w:rPr>
              <w:t xml:space="preserve">500</w:t>
            </w:r>
          </w:p>
        </w:tc>
        <w:tc>
          <w:tcPr/>
          <w:p>
            <w:pPr>
              <w:pStyle w:val="Compact"/>
              <w:jc w:val="left"/>
            </w:pPr>
            <w:r>
              <w:rPr>
                <w:u w:val="single"/>
              </w:rPr>
              <w:t xml:space="preserve">500</w:t>
            </w:r>
          </w:p>
        </w:tc>
        <w:tc>
          <w:tcPr/>
          <w:p>
            <w:pPr>
              <w:pStyle w:val="Compact"/>
              <w:jc w:val="left"/>
            </w:pPr>
            <w:r>
              <w:rPr>
                <w:u w:val="single"/>
              </w:rPr>
              <w:t xml:space="preserve">.00</w:t>
            </w:r>
          </w:p>
        </w:tc>
      </w:tr>
      <w:tr>
        <w:tc>
          <w:tcPr/>
          <w:p>
            <w:pPr>
              <w:pStyle w:val="Compact"/>
            </w:pPr>
          </w:p>
        </w:tc>
        <w:tc>
          <w:tcPr/>
          <w:p>
            <w:pPr>
              <w:pStyle w:val="Compact"/>
              <w:jc w:val="left"/>
            </w:pPr>
            <w:r>
              <w:t xml:space="preserve">2500</w:t>
            </w:r>
          </w:p>
        </w:tc>
        <w:tc>
          <w:tcPr/>
          <w:p>
            <w:pPr>
              <w:pStyle w:val="Compact"/>
              <w:jc w:val="left"/>
            </w:pPr>
            <w:r>
              <w:t xml:space="preserve">2500</w:t>
            </w:r>
          </w:p>
        </w:tc>
        <w:tc>
          <w:tcPr/>
          <w:p>
            <w:pPr>
              <w:pStyle w:val="Compact"/>
              <w:jc w:val="left"/>
            </w:pPr>
            <w:r>
              <w:t xml:space="preserve">0.00</w:t>
            </w:r>
          </w:p>
        </w:tc>
      </w:tr>
      <w:tr>
        <w:tc>
          <w:tcPr/>
          <w:p>
            <w:pPr>
              <w:pStyle w:val="Compact"/>
            </w:pPr>
          </w:p>
        </w:tc>
        <w:tc>
          <w:tcPr/>
          <w:p>
            <w:pPr>
              <w:pStyle w:val="Compact"/>
            </w:pPr>
          </w:p>
        </w:tc>
        <w:tc>
          <w:tcPr/>
          <w:p>
            <w:pPr>
              <w:pStyle w:val="Compact"/>
              <w:jc w:val="left"/>
            </w:pPr>
            <w:r>
              <w:rPr>
                <w:b/>
                <w:bCs/>
              </w:rPr>
              <w:t xml:space="preserve">Segregation Index</w:t>
            </w:r>
          </w:p>
        </w:tc>
        <w:tc>
          <w:tcPr/>
          <w:p>
            <w:pPr>
              <w:pStyle w:val="Compact"/>
              <w:jc w:val="left"/>
            </w:pPr>
            <w:r>
              <w:t xml:space="preserve">.00</w:t>
            </w:r>
          </w:p>
        </w:tc>
      </w:tr>
    </w:tbl>
    <w:bookmarkEnd w:id="33"/>
    <w:bookmarkStart w:id="34" w:name="percent-points"/>
    <w:p>
      <w:pPr>
        <w:pStyle w:val="Heading2"/>
      </w:pPr>
      <w:r>
        <w:t xml:space="preserve">Percent points</w:t>
      </w:r>
    </w:p>
    <w:p>
      <w:pPr>
        <w:pStyle w:val="FirstParagraph"/>
      </w:pPr>
      <w:r>
        <w:t xml:space="preserve">Giles (1974)</w:t>
      </w:r>
      <w:r>
        <w:t xml:space="preserve"> </w:t>
      </w:r>
      <w:r>
        <w:t xml:space="preserve">identifies a set of percent point that serve as measures of desegregation.</w:t>
      </w:r>
    </w:p>
    <w:p>
      <w:pPr>
        <w:pStyle w:val="BodyText"/>
      </w:pPr>
      <w:r>
        <w:rPr>
          <w:b/>
          <w:bCs/>
        </w:rPr>
        <w:t xml:space="preserve">The 90-percent point</w:t>
      </w:r>
      <w:r>
        <w:t xml:space="preserve">: The</w:t>
      </w:r>
      <w:r>
        <w:t xml:space="preserve"> </w:t>
      </w:r>
      <w:r>
        <w:t xml:space="preserve">“</w:t>
      </w:r>
      <w:r>
        <w:t xml:space="preserve">90 per cent or more whites</w:t>
      </w:r>
      <w:r>
        <w:t xml:space="preserve">”</w:t>
      </w:r>
      <w:r>
        <w:t xml:space="preserve"> </w:t>
      </w:r>
      <w:r>
        <w:t xml:space="preserve">(Giles, 1974, p. 518)</w:t>
      </w:r>
      <w:r>
        <w:t xml:space="preserve"> </w:t>
      </w:r>
      <w:r>
        <w:t xml:space="preserve">enrollment point that defined desegregation The Allen Report of 1964</w:t>
      </w:r>
      <w:r>
        <w:t xml:space="preserve"> </w:t>
      </w:r>
      <w:r>
        <w:t xml:space="preserve">(</w:t>
      </w:r>
      <w:r>
        <w:rPr>
          <w:b/>
          <w:bCs/>
        </w:rPr>
        <w:t xml:space="preserve">allen?</w:t>
      </w:r>
      <w:r>
        <w:t xml:space="preserve">)</w:t>
      </w:r>
      <w:r>
        <w:t xml:space="preserve">; the 90 percent point is also used by the HEW’s Office of Civil Rights</w:t>
      </w:r>
      <w:r>
        <w:t xml:space="preserve"> </w:t>
      </w:r>
      <w:r>
        <w:t xml:space="preserve">(</w:t>
      </w:r>
      <w:r>
        <w:rPr>
          <w:b/>
          <w:bCs/>
        </w:rPr>
        <w:t xml:space="preserve">hew?</w:t>
      </w:r>
      <w:r>
        <w:t xml:space="preserve">)</w:t>
      </w:r>
      <w:r>
        <w:t xml:space="preserve">.</w:t>
      </w:r>
    </w:p>
    <w:p>
      <w:pPr>
        <w:pStyle w:val="BodyText"/>
      </w:pPr>
      <w:r>
        <w:t xml:space="preserve">Text.</w:t>
      </w:r>
    </w:p>
    <w:p>
      <w:pPr>
        <w:pStyle w:val="TableCaption"/>
      </w:pPr>
      <w:r>
        <w:t xml:space="preserve">Table. Segregation Index in a Partially De/segregated School System</w:t>
      </w:r>
    </w:p>
    <w:tbl>
      <w:tblPr>
        <w:tblStyle w:val="Table"/>
        <w:tblW w:type="pct" w:w="5000"/>
        <w:tblLayout w:type="fixed"/>
        <w:tblLook w:firstRow="1" w:lastRow="0" w:firstColumn="0" w:lastColumn="0" w:noHBand="0" w:noVBand="0" w:val="0020"/>
        <w:tblCaption w:val="Table. Segregation Index in a Partially De/segregated School System"/>
      </w:tblPr>
      <w:tblGrid>
        <w:gridCol w:w="918"/>
        <w:gridCol w:w="2180"/>
        <w:gridCol w:w="2640"/>
        <w:gridCol w:w="2180"/>
      </w:tblGrid>
      <w:tr>
        <w:trPr>
          <w:tblHeader w:val="on"/>
        </w:trPr>
        <w:tc>
          <w:tcPr/>
          <w:p>
            <w:pPr>
              <w:pStyle w:val="Compact"/>
              <w:jc w:val="left"/>
            </w:pPr>
            <w:r>
              <w:t xml:space="preserve">School</w:t>
            </w:r>
          </w:p>
        </w:tc>
        <w:tc>
          <w:tcPr/>
          <w:p>
            <w:pPr>
              <w:pStyle w:val="Compact"/>
              <w:jc w:val="left"/>
            </w:pPr>
            <w:r>
              <w:t xml:space="preserve">White Enrollment</w:t>
            </w:r>
          </w:p>
        </w:tc>
        <w:tc>
          <w:tcPr/>
          <w:p>
            <w:pPr>
              <w:pStyle w:val="Compact"/>
              <w:jc w:val="left"/>
            </w:pPr>
            <w:r>
              <w:t xml:space="preserve">Non-White Enrollment</w:t>
            </w:r>
          </w:p>
        </w:tc>
        <w:tc>
          <w:tcPr/>
          <w:p>
            <w:pPr>
              <w:pStyle w:val="Compact"/>
              <w:jc w:val="left"/>
            </w:pPr>
            <w:r>
              <w:t xml:space="preserve">Difference</w:t>
            </w:r>
          </w:p>
        </w:tc>
      </w:tr>
      <w:tr>
        <w:tc>
          <w:tcPr/>
          <w:p>
            <w:pPr>
              <w:pStyle w:val="Compact"/>
              <w:jc w:val="left"/>
            </w:pPr>
            <w:r>
              <w:t xml:space="preserve">A</w:t>
            </w:r>
          </w:p>
        </w:tc>
        <w:tc>
          <w:tcPr/>
          <w:p>
            <w:pPr>
              <w:pStyle w:val="Compact"/>
              <w:jc w:val="left"/>
            </w:pPr>
            <w:r>
              <w:t xml:space="preserve">500</w:t>
            </w:r>
          </w:p>
        </w:tc>
        <w:tc>
          <w:tcPr/>
          <w:p>
            <w:pPr>
              <w:pStyle w:val="Compact"/>
              <w:jc w:val="left"/>
            </w:pPr>
            <w:r>
              <w:t xml:space="preserve">100</w:t>
            </w:r>
          </w:p>
        </w:tc>
        <w:tc>
          <w:tcPr/>
          <w:p>
            <w:pPr>
              <w:pStyle w:val="Compact"/>
              <w:jc w:val="left"/>
            </w:pPr>
            <w:r>
              <w:t xml:space="preserve">.40</w:t>
            </w:r>
          </w:p>
        </w:tc>
      </w:tr>
      <w:tr>
        <w:tc>
          <w:tcPr/>
          <w:p>
            <w:pPr>
              <w:pStyle w:val="Compact"/>
              <w:jc w:val="left"/>
            </w:pPr>
            <w:r>
              <w:t xml:space="preserve">B</w:t>
            </w:r>
          </w:p>
        </w:tc>
        <w:tc>
          <w:tcPr/>
          <w:p>
            <w:pPr>
              <w:pStyle w:val="Compact"/>
              <w:jc w:val="left"/>
            </w:pPr>
            <w:r>
              <w:t xml:space="preserve">0</w:t>
            </w:r>
          </w:p>
        </w:tc>
        <w:tc>
          <w:tcPr/>
          <w:p>
            <w:pPr>
              <w:pStyle w:val="Compact"/>
              <w:jc w:val="left"/>
            </w:pPr>
            <w:r>
              <w:t xml:space="preserve">500</w:t>
            </w:r>
          </w:p>
        </w:tc>
        <w:tc>
          <w:tcPr/>
          <w:p>
            <w:pPr>
              <w:pStyle w:val="Compact"/>
              <w:jc w:val="left"/>
            </w:pPr>
            <w:r>
              <w:t xml:space="preserve">.50</w:t>
            </w:r>
          </w:p>
        </w:tc>
      </w:tr>
      <w:tr>
        <w:tc>
          <w:tcPr/>
          <w:p>
            <w:pPr>
              <w:pStyle w:val="Compact"/>
              <w:jc w:val="left"/>
            </w:pPr>
            <w:r>
              <w:t xml:space="preserve">C</w:t>
            </w:r>
          </w:p>
        </w:tc>
        <w:tc>
          <w:tcPr/>
          <w:p>
            <w:pPr>
              <w:pStyle w:val="Compact"/>
              <w:jc w:val="left"/>
            </w:pPr>
            <w:r>
              <w:t xml:space="preserve">500</w:t>
            </w:r>
          </w:p>
        </w:tc>
        <w:tc>
          <w:tcPr/>
          <w:p>
            <w:pPr>
              <w:pStyle w:val="Compact"/>
              <w:jc w:val="left"/>
            </w:pPr>
            <w:r>
              <w:t xml:space="preserve">500</w:t>
            </w:r>
          </w:p>
        </w:tc>
        <w:tc>
          <w:tcPr/>
          <w:p>
            <w:pPr>
              <w:pStyle w:val="Compact"/>
              <w:jc w:val="left"/>
            </w:pPr>
            <w:r>
              <w:t xml:space="preserve">.00</w:t>
            </w:r>
          </w:p>
        </w:tc>
      </w:tr>
      <w:tr>
        <w:tc>
          <w:tcPr/>
          <w:p>
            <w:pPr>
              <w:pStyle w:val="Compact"/>
              <w:jc w:val="left"/>
            </w:pPr>
            <w:r>
              <w:t xml:space="preserve">D</w:t>
            </w:r>
          </w:p>
        </w:tc>
        <w:tc>
          <w:tcPr/>
          <w:p>
            <w:pPr>
              <w:pStyle w:val="Compact"/>
              <w:jc w:val="left"/>
            </w:pPr>
            <w:r>
              <w:t xml:space="preserve">500</w:t>
            </w:r>
          </w:p>
        </w:tc>
        <w:tc>
          <w:tcPr/>
          <w:p>
            <w:pPr>
              <w:pStyle w:val="Compact"/>
              <w:jc w:val="left"/>
            </w:pPr>
            <w:r>
              <w:t xml:space="preserve">200</w:t>
            </w:r>
          </w:p>
        </w:tc>
        <w:tc>
          <w:tcPr/>
          <w:p>
            <w:pPr>
              <w:pStyle w:val="Compact"/>
              <w:jc w:val="left"/>
            </w:pPr>
            <w:r>
              <w:t xml:space="preserve">.30</w:t>
            </w:r>
          </w:p>
        </w:tc>
      </w:tr>
      <w:tr>
        <w:tc>
          <w:tcPr/>
          <w:p>
            <w:pPr>
              <w:pStyle w:val="Compact"/>
              <w:jc w:val="left"/>
            </w:pPr>
            <w:r>
              <w:t xml:space="preserve">E</w:t>
            </w:r>
          </w:p>
        </w:tc>
        <w:tc>
          <w:tcPr/>
          <w:p>
            <w:pPr>
              <w:pStyle w:val="Compact"/>
              <w:jc w:val="left"/>
            </w:pPr>
            <w:r>
              <w:rPr>
                <w:u w:val="single"/>
              </w:rPr>
              <w:t xml:space="preserve">500</w:t>
            </w:r>
          </w:p>
        </w:tc>
        <w:tc>
          <w:tcPr/>
          <w:p>
            <w:pPr>
              <w:pStyle w:val="Compact"/>
              <w:jc w:val="left"/>
            </w:pPr>
            <w:r>
              <w:rPr>
                <w:u w:val="single"/>
              </w:rPr>
              <w:t xml:space="preserve">300</w:t>
            </w:r>
          </w:p>
        </w:tc>
        <w:tc>
          <w:tcPr/>
          <w:p>
            <w:pPr>
              <w:pStyle w:val="Compact"/>
              <w:jc w:val="left"/>
            </w:pPr>
            <w:r>
              <w:rPr>
                <w:u w:val="single"/>
              </w:rPr>
              <w:t xml:space="preserve">.20</w:t>
            </w:r>
          </w:p>
        </w:tc>
      </w:tr>
      <w:tr>
        <w:tc>
          <w:tcPr/>
          <w:p>
            <w:pPr>
              <w:pStyle w:val="Compact"/>
            </w:pPr>
          </w:p>
        </w:tc>
        <w:tc>
          <w:tcPr/>
          <w:p>
            <w:pPr>
              <w:pStyle w:val="Compact"/>
              <w:jc w:val="left"/>
            </w:pPr>
            <w:r>
              <w:t xml:space="preserve">2500</w:t>
            </w:r>
          </w:p>
        </w:tc>
        <w:tc>
          <w:tcPr/>
          <w:p>
            <w:pPr>
              <w:pStyle w:val="Compact"/>
              <w:jc w:val="left"/>
            </w:pPr>
            <w:r>
              <w:t xml:space="preserve">2500</w:t>
            </w:r>
          </w:p>
        </w:tc>
        <w:tc>
          <w:tcPr/>
          <w:p>
            <w:pPr>
              <w:pStyle w:val="Compact"/>
              <w:jc w:val="left"/>
            </w:pPr>
            <w:r>
              <w:t xml:space="preserve">1.40</w:t>
            </w:r>
          </w:p>
        </w:tc>
      </w:tr>
      <w:tr>
        <w:tc>
          <w:tcPr/>
          <w:p>
            <w:pPr>
              <w:pStyle w:val="Compact"/>
            </w:pPr>
          </w:p>
        </w:tc>
        <w:tc>
          <w:tcPr/>
          <w:p>
            <w:pPr>
              <w:pStyle w:val="Compact"/>
            </w:pPr>
          </w:p>
        </w:tc>
        <w:tc>
          <w:tcPr/>
          <w:p>
            <w:pPr>
              <w:pStyle w:val="Compact"/>
              <w:jc w:val="left"/>
            </w:pPr>
            <w:r>
              <w:rPr>
                <w:b/>
                <w:bCs/>
              </w:rPr>
              <w:t xml:space="preserve">Segregation Index</w:t>
            </w:r>
          </w:p>
        </w:tc>
        <w:tc>
          <w:tcPr/>
          <w:p>
            <w:pPr>
              <w:pStyle w:val="Compact"/>
              <w:jc w:val="left"/>
            </w:pPr>
            <w:r>
              <w:t xml:space="preserve">.70</w:t>
            </w:r>
          </w:p>
        </w:tc>
      </w:tr>
    </w:tbl>
    <w:p>
      <w:pPr>
        <w:pStyle w:val="BodyText"/>
      </w:pPr>
      <w:r>
        <w:rPr>
          <w:b/>
          <w:bCs/>
        </w:rPr>
        <w:t xml:space="preserve">The 50-percent point</w:t>
      </w:r>
      <w:r>
        <w:t xml:space="preserve">: Text.</w:t>
      </w:r>
    </w:p>
    <w:p>
      <w:pPr>
        <w:pStyle w:val="BodyText"/>
      </w:pPr>
      <w:r>
        <w:rPr>
          <w:b/>
          <w:bCs/>
        </w:rPr>
        <w:t xml:space="preserve">The 89-percent and 49-percent points</w:t>
      </w:r>
      <w:r>
        <w:t xml:space="preserve">: Text.</w:t>
      </w:r>
    </w:p>
    <w:p>
      <w:pPr>
        <w:pStyle w:val="BodyText"/>
      </w:pPr>
      <w:r>
        <w:rPr>
          <w:b/>
          <w:bCs/>
        </w:rPr>
        <w:t xml:space="preserve">The 25-percent point</w:t>
      </w:r>
      <w:r>
        <w:t xml:space="preserve">: Text.</w:t>
      </w:r>
    </w:p>
    <w:bookmarkEnd w:id="34"/>
    <w:bookmarkEnd w:id="35"/>
    <w:bookmarkStart w:id="36" w:name="discussion"/>
    <w:p>
      <w:pPr>
        <w:pStyle w:val="Heading1"/>
      </w:pPr>
      <w:r>
        <w:t xml:space="preserve">Discussion</w:t>
      </w:r>
    </w:p>
    <w:p>
      <w:pPr>
        <w:pStyle w:val="FirstParagraph"/>
      </w:pPr>
      <w:r>
        <w:t xml:space="preserve">Text.</w:t>
      </w:r>
    </w:p>
    <w:bookmarkEnd w:id="36"/>
    <w:bookmarkStart w:id="37" w:name="conclusion"/>
    <w:p>
      <w:pPr>
        <w:pStyle w:val="Heading1"/>
      </w:pPr>
      <w:r>
        <w:t xml:space="preserve">Conclusion</w:t>
      </w:r>
    </w:p>
    <w:p>
      <w:pPr>
        <w:pStyle w:val="FirstParagraph"/>
      </w:pPr>
      <w:r>
        <w:t xml:space="preserve">Text.</w:t>
      </w:r>
    </w:p>
    <w:p>
      <w:r>
        <w:br w:type="page"/>
      </w:r>
    </w:p>
    <w:bookmarkEnd w:id="37"/>
    <w:bookmarkStart w:id="51" w:name="references"/>
    <w:p>
      <w:pPr>
        <w:pStyle w:val="Heading1"/>
      </w:pPr>
      <w:r>
        <w:t xml:space="preserve">References</w:t>
      </w:r>
    </w:p>
    <w:bookmarkStart w:id="50" w:name="refs"/>
    <w:bookmarkStart w:id="38" w:name="ref-bell2004silent"/>
    <w:p>
      <w:pPr>
        <w:pStyle w:val="Bibliography"/>
      </w:pPr>
      <w:r>
        <w:t xml:space="preserve">Bell, D. (2004).</w:t>
      </w:r>
      <w:r>
        <w:t xml:space="preserve"> </w:t>
      </w:r>
      <w:r>
        <w:rPr>
          <w:i/>
          <w:iCs/>
        </w:rPr>
        <w:t xml:space="preserve">Silent covenants: Brown v. Board of education and the unfulfilled hopes for racial reform</w:t>
      </w:r>
      <w:r>
        <w:t xml:space="preserve">. Oxford University Press.</w:t>
      </w:r>
    </w:p>
    <w:bookmarkEnd w:id="38"/>
    <w:bookmarkStart w:id="39" w:name="ref-berry2014examining"/>
    <w:p>
      <w:pPr>
        <w:pStyle w:val="Bibliography"/>
      </w:pPr>
      <w:r>
        <w:t xml:space="preserve">Berry III, R. Q., Ellis, M., &amp; Hughes, S. (2014). Examining a history of failed reforms and recent stories of success: Mathematics education and black learners of mathematics in the united states.</w:t>
      </w:r>
      <w:r>
        <w:t xml:space="preserve"> </w:t>
      </w:r>
      <w:r>
        <w:rPr>
          <w:i/>
          <w:iCs/>
        </w:rPr>
        <w:t xml:space="preserve">Race Ethnicity and Education</w:t>
      </w:r>
      <w:r>
        <w:t xml:space="preserve">,</w:t>
      </w:r>
      <w:r>
        <w:t xml:space="preserve"> </w:t>
      </w:r>
      <w:r>
        <w:rPr>
          <w:i/>
          <w:iCs/>
        </w:rPr>
        <w:t xml:space="preserve">17</w:t>
      </w:r>
      <w:r>
        <w:t xml:space="preserve">(4), 540–568.</w:t>
      </w:r>
    </w:p>
    <w:bookmarkEnd w:id="39"/>
    <w:bookmarkStart w:id="40" w:name="ref-camangian2022social"/>
    <w:p>
      <w:pPr>
        <w:pStyle w:val="Bibliography"/>
      </w:pPr>
      <w:r>
        <w:t xml:space="preserve">Camangian, P., &amp; Cariaga, S. (2022). Social and emotional learning is hegemonic miseducation: Students deserve humanization instead.</w:t>
      </w:r>
      <w:r>
        <w:t xml:space="preserve"> </w:t>
      </w:r>
      <w:r>
        <w:rPr>
          <w:i/>
          <w:iCs/>
        </w:rPr>
        <w:t xml:space="preserve">Race Ethnicity and Education</w:t>
      </w:r>
      <w:r>
        <w:t xml:space="preserve">,</w:t>
      </w:r>
      <w:r>
        <w:t xml:space="preserve"> </w:t>
      </w:r>
      <w:r>
        <w:rPr>
          <w:i/>
          <w:iCs/>
        </w:rPr>
        <w:t xml:space="preserve">25</w:t>
      </w:r>
      <w:r>
        <w:t xml:space="preserve">(7), 901–921.</w:t>
      </w:r>
    </w:p>
    <w:bookmarkEnd w:id="40"/>
    <w:bookmarkStart w:id="41" w:name="ref-chodrow2017structure"/>
    <w:p>
      <w:pPr>
        <w:pStyle w:val="Bibliography"/>
      </w:pPr>
      <w:r>
        <w:t xml:space="preserve">Chodrow, P. S. (2017). Structure and information in spatial segregation.</w:t>
      </w:r>
      <w:r>
        <w:t xml:space="preserve"> </w:t>
      </w:r>
      <w:r>
        <w:rPr>
          <w:i/>
          <w:iCs/>
        </w:rPr>
        <w:t xml:space="preserve">Proceedings of the National Academy of Sciences</w:t>
      </w:r>
      <w:r>
        <w:t xml:space="preserve">,</w:t>
      </w:r>
      <w:r>
        <w:t xml:space="preserve"> </w:t>
      </w:r>
      <w:r>
        <w:rPr>
          <w:i/>
          <w:iCs/>
        </w:rPr>
        <w:t xml:space="preserve">114</w:t>
      </w:r>
      <w:r>
        <w:t xml:space="preserve">(44), 11591–11596.</w:t>
      </w:r>
    </w:p>
    <w:bookmarkEnd w:id="41"/>
    <w:bookmarkStart w:id="42" w:name="ref-dumas2014losing"/>
    <w:p>
      <w:pPr>
        <w:pStyle w:val="Bibliography"/>
      </w:pPr>
      <w:r>
        <w:t xml:space="preserve">Dumas, M. J. (2014).</w:t>
      </w:r>
      <w:r>
        <w:t xml:space="preserve"> </w:t>
      </w:r>
      <w:r>
        <w:t xml:space="preserve">“Losing an arm”</w:t>
      </w:r>
      <w:r>
        <w:t xml:space="preserve">: Schooling as a site of black suffering.</w:t>
      </w:r>
      <w:r>
        <w:t xml:space="preserve"> </w:t>
      </w:r>
      <w:r>
        <w:rPr>
          <w:i/>
          <w:iCs/>
        </w:rPr>
        <w:t xml:space="preserve">Race Ethnicity and Education</w:t>
      </w:r>
      <w:r>
        <w:t xml:space="preserve">,</w:t>
      </w:r>
      <w:r>
        <w:t xml:space="preserve"> </w:t>
      </w:r>
      <w:r>
        <w:rPr>
          <w:i/>
          <w:iCs/>
        </w:rPr>
        <w:t xml:space="preserve">17</w:t>
      </w:r>
      <w:r>
        <w:t xml:space="preserve">(1), 1–29.</w:t>
      </w:r>
    </w:p>
    <w:bookmarkEnd w:id="42"/>
    <w:bookmarkStart w:id="43" w:name="ref-dumas2016real"/>
    <w:p>
      <w:pPr>
        <w:pStyle w:val="Bibliography"/>
      </w:pPr>
      <w:r>
        <w:t xml:space="preserve">Dumas, M. J., &amp; Ross, K. M. (2016).</w:t>
      </w:r>
      <w:r>
        <w:t xml:space="preserve"> </w:t>
      </w:r>
      <w:r>
        <w:t xml:space="preserve">“Be real black for me”</w:t>
      </w:r>
      <w:r>
        <w:t xml:space="preserve"> </w:t>
      </w:r>
      <w:r>
        <w:t xml:space="preserve">imagining BlackCrit in education.</w:t>
      </w:r>
      <w:r>
        <w:t xml:space="preserve"> </w:t>
      </w:r>
      <w:r>
        <w:rPr>
          <w:i/>
          <w:iCs/>
        </w:rPr>
        <w:t xml:space="preserve">Urban Education</w:t>
      </w:r>
      <w:r>
        <w:t xml:space="preserve">,</w:t>
      </w:r>
      <w:r>
        <w:t xml:space="preserve"> </w:t>
      </w:r>
      <w:r>
        <w:rPr>
          <w:i/>
          <w:iCs/>
        </w:rPr>
        <w:t xml:space="preserve">51</w:t>
      </w:r>
      <w:r>
        <w:t xml:space="preserve">(4), 415–442.</w:t>
      </w:r>
    </w:p>
    <w:bookmarkEnd w:id="43"/>
    <w:bookmarkStart w:id="44" w:name="ref-giles1974measuring"/>
    <w:p>
      <w:pPr>
        <w:pStyle w:val="Bibliography"/>
      </w:pPr>
      <w:r>
        <w:t xml:space="preserve">Giles, M. W. (1974). Measuring school desegregation.</w:t>
      </w:r>
      <w:r>
        <w:t xml:space="preserve"> </w:t>
      </w:r>
      <w:r>
        <w:rPr>
          <w:i/>
          <w:iCs/>
        </w:rPr>
        <w:t xml:space="preserve">The Journal of Negro Education</w:t>
      </w:r>
      <w:r>
        <w:t xml:space="preserve">,</w:t>
      </w:r>
      <w:r>
        <w:t xml:space="preserve"> </w:t>
      </w:r>
      <w:r>
        <w:rPr>
          <w:i/>
          <w:iCs/>
        </w:rPr>
        <w:t xml:space="preserve">43</w:t>
      </w:r>
      <w:r>
        <w:t xml:space="preserve">(4), 517–523.</w:t>
      </w:r>
    </w:p>
    <w:bookmarkEnd w:id="44"/>
    <w:bookmarkStart w:id="45" w:name="ref-king2006black"/>
    <w:p>
      <w:pPr>
        <w:pStyle w:val="Bibliography"/>
      </w:pPr>
      <w:r>
        <w:t xml:space="preserve">King, J. E. (2006).</w:t>
      </w:r>
      <w:r>
        <w:t xml:space="preserve"> </w:t>
      </w:r>
      <w:r>
        <w:rPr>
          <w:i/>
          <w:iCs/>
        </w:rPr>
        <w:t xml:space="preserve">Black education: A transformative research and action agenda for the new century</w:t>
      </w:r>
      <w:r>
        <w:t xml:space="preserve">. Routledge.</w:t>
      </w:r>
    </w:p>
    <w:bookmarkEnd w:id="45"/>
    <w:bookmarkStart w:id="46" w:name="ref-love2019we"/>
    <w:p>
      <w:pPr>
        <w:pStyle w:val="Bibliography"/>
      </w:pPr>
      <w:r>
        <w:t xml:space="preserve">Love, B. L. (2019).</w:t>
      </w:r>
      <w:r>
        <w:t xml:space="preserve"> </w:t>
      </w:r>
      <w:r>
        <w:rPr>
          <w:i/>
          <w:iCs/>
        </w:rPr>
        <w:t xml:space="preserve">We want to do more than survive: Abolitionist teaching and the pursuit of educational freedom</w:t>
      </w:r>
      <w:r>
        <w:t xml:space="preserve">. Beacon press.</w:t>
      </w:r>
    </w:p>
    <w:bookmarkEnd w:id="46"/>
    <w:bookmarkStart w:id="47" w:name="ref-miraya2023clearing"/>
    <w:p>
      <w:pPr>
        <w:pStyle w:val="Bibliography"/>
      </w:pPr>
      <w:r>
        <w:t xml:space="preserve">Miraya Ross, K., &amp; Givens, J. R. (2023). The clearing: On black education studies and the problem of</w:t>
      </w:r>
      <w:r>
        <w:t xml:space="preserve"> </w:t>
      </w:r>
      <w:r>
        <w:t xml:space="preserve">“antiblackness.”</w:t>
      </w:r>
      <w:r>
        <w:t xml:space="preserve"> </w:t>
      </w:r>
      <w:r>
        <w:rPr>
          <w:i/>
          <w:iCs/>
        </w:rPr>
        <w:t xml:space="preserve">Harvard Educational Review</w:t>
      </w:r>
      <w:r>
        <w:t xml:space="preserve">,</w:t>
      </w:r>
      <w:r>
        <w:t xml:space="preserve"> </w:t>
      </w:r>
      <w:r>
        <w:rPr>
          <w:i/>
          <w:iCs/>
        </w:rPr>
        <w:t xml:space="preserve">93</w:t>
      </w:r>
      <w:r>
        <w:t xml:space="preserve">(2), 149–172.</w:t>
      </w:r>
    </w:p>
    <w:bookmarkEnd w:id="47"/>
    <w:bookmarkStart w:id="48" w:name="ref-tillman2008sage"/>
    <w:p>
      <w:pPr>
        <w:pStyle w:val="Bibliography"/>
      </w:pPr>
      <w:r>
        <w:t xml:space="preserve">Tillman, L. C. (2008).</w:t>
      </w:r>
      <w:r>
        <w:t xml:space="preserve"> </w:t>
      </w:r>
      <w:r>
        <w:rPr>
          <w:i/>
          <w:iCs/>
        </w:rPr>
        <w:t xml:space="preserve">The sage handbook of african american education</w:t>
      </w:r>
      <w:r>
        <w:t xml:space="preserve">. Sage Publications.</w:t>
      </w:r>
    </w:p>
    <w:bookmarkEnd w:id="48"/>
    <w:bookmarkStart w:id="49" w:name="ref-wells1994perpetuation"/>
    <w:p>
      <w:pPr>
        <w:pStyle w:val="Bibliography"/>
      </w:pPr>
      <w:r>
        <w:t xml:space="preserve">Wells, A. S., &amp; Crain, R. L. (1994). Perpetuation theory and the long-term effects of school desegregation.</w:t>
      </w:r>
      <w:r>
        <w:t xml:space="preserve"> </w:t>
      </w:r>
      <w:r>
        <w:rPr>
          <w:i/>
          <w:iCs/>
        </w:rPr>
        <w:t xml:space="preserve">Review of Educational Research</w:t>
      </w:r>
      <w:r>
        <w:t xml:space="preserve">,</w:t>
      </w:r>
      <w:r>
        <w:t xml:space="preserve"> </w:t>
      </w:r>
      <w:r>
        <w:rPr>
          <w:i/>
          <w:iCs/>
        </w:rPr>
        <w:t xml:space="preserve">64</w:t>
      </w:r>
      <w:r>
        <w:t xml:space="preserve">(4), 531–555.</w:t>
      </w:r>
    </w:p>
    <w:bookmarkEnd w:id="49"/>
    <w:bookmarkEnd w:id="50"/>
    <w:bookmarkEnd w:id="51"/>
    <w:sectPr w:rsidR="006B250D">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0587507"/>
      <w:docPartObj>
        <w:docPartGallery w:val="Page Numbers (Bottom of Page)"/>
        <w:docPartUnique/>
      </w:docPartObj>
    </w:sdtPr>
    <w:sdtContent>
      <w:p w14:paraId="29846899" w14:textId="77777777" w:rsidR="006B250D" w:rsidRDefault="00000000" w:rsidP="001A175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D90C5" w14:textId="77777777" w:rsidR="006B250D" w:rsidRDefault="006B250D" w:rsidP="001A1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420434"/>
      <w:docPartObj>
        <w:docPartGallery w:val="Page Numbers (Bottom of Page)"/>
        <w:docPartUnique/>
      </w:docPartObj>
    </w:sdtPr>
    <w:sdtContent>
      <w:p w14:paraId="2E8456B4" w14:textId="77777777" w:rsidR="006B250D" w:rsidRDefault="006B250D" w:rsidP="00EA5F9B">
        <w:pPr>
          <w:pStyle w:val="Footer"/>
          <w:jc w:val="right"/>
          <w:rPr>
            <w:rStyle w:val="PageNumber"/>
          </w:rPr>
        </w:pPr>
      </w:p>
      <w:p w14:paraId="25FF0C5C" w14:textId="77777777" w:rsidR="006B250D" w:rsidRDefault="00000000" w:rsidP="00EA5F9B">
        <w:pPr>
          <w:pStyle w:val="Footer"/>
          <w:jc w:val="right"/>
        </w:pPr>
        <w:r w:rsidRPr="001A1758">
          <w:rPr>
            <w:rStyle w:val="PageNumber"/>
          </w:rPr>
          <w:fldChar w:fldCharType="begin"/>
        </w:r>
        <w:r w:rsidRPr="001A1758">
          <w:rPr>
            <w:rStyle w:val="PageNumber"/>
          </w:rPr>
          <w:instrText xml:space="preserve"> PAGE </w:instrText>
        </w:r>
        <w:r w:rsidRPr="001A1758">
          <w:rPr>
            <w:rStyle w:val="PageNumber"/>
          </w:rPr>
          <w:fldChar w:fldCharType="separate"/>
        </w:r>
        <w:r w:rsidRPr="001A1758">
          <w:rPr>
            <w:rStyle w:val="PageNumber"/>
          </w:rPr>
          <w:t>1</w:t>
        </w:r>
        <w:r w:rsidRPr="001A1758">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6DF4" w14:textId="77777777" w:rsidR="006B250D" w:rsidRDefault="006B250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8BB7" w14:textId="77777777" w:rsidR="006B250D" w:rsidRDefault="006B2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FF58" w14:textId="77777777" w:rsidR="006B250D" w:rsidRDefault="006B2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C04D" w14:textId="77777777" w:rsidR="006B250D" w:rsidRDefault="006B250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569656093" w:numId="8">
    <w:abstractNumId w:val="0"/>
  </w:num>
  <w:num w16cid:durableId="1819955243" w:numId="9">
    <w:abstractNumId w:val="0"/>
  </w:num>
  <w:num w16cid:durableId="1031881661" w:numId="10">
    <w:abstractNumId w:val="0"/>
  </w:num>
  <w:num w16cid:durableId="1064257662" w:numId="11">
    <w:abstractNumId w:val="0"/>
  </w:num>
  <w:num w16cid:durableId="52047552" w:numId="12">
    <w:abstractNumId w:val="0"/>
  </w:num>
  <w:num w16cid:durableId="22680595" w:numId="1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0D"/>
    <w:rsid w:val="00625830"/>
    <w:rsid w:val="006B250D"/>
    <w:rsid w:val="00A47137"/>
    <w:rsid w:val="00A537CD"/>
    <w:rsid w:val="00F1037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A1758"/>
    <w:pPr>
      <w:spacing w:line="480" w:lineRule="auto"/>
      <w:ind w:firstLine="720"/>
    </w:pPr>
    <w:rPr>
      <w:rFonts w:ascii="Times New Roman" w:hAnsi="Times New Roman"/>
    </w:rPr>
  </w:style>
  <w:style w:styleId="Heading1" w:type="paragraph">
    <w:name w:val="heading 1"/>
    <w:basedOn w:val="Normal"/>
    <w:next w:val="BodyText"/>
    <w:uiPriority w:val="9"/>
    <w:qFormat/>
    <w:rsid w:val="00E813C0"/>
    <w:pPr>
      <w:keepNext/>
      <w:keepLines/>
      <w:spacing w:after="0" w:before="240"/>
      <w:ind w:firstLine="0"/>
      <w:outlineLvl w:val="0"/>
    </w:pPr>
    <w:rPr>
      <w:rFonts w:cstheme="majorBidi" w:eastAsiaTheme="majorEastAsia"/>
      <w:b/>
      <w:bCs/>
      <w:color w:themeColor="text1" w:val="000000"/>
      <w:sz w:val="28"/>
      <w:szCs w:val="32"/>
    </w:rPr>
  </w:style>
  <w:style w:styleId="Heading2" w:type="paragraph">
    <w:name w:val="heading 2"/>
    <w:basedOn w:val="Normal"/>
    <w:next w:val="BodyText"/>
    <w:uiPriority w:val="9"/>
    <w:unhideWhenUsed/>
    <w:qFormat/>
    <w:rsid w:val="00F527AA"/>
    <w:pPr>
      <w:keepNext/>
      <w:keepLines/>
      <w:spacing w:after="120" w:before="320"/>
      <w:ind w:firstLine="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13328F"/>
    <w:pPr>
      <w:keepNext/>
      <w:keepLines/>
      <w:spacing w:after="120" w:before="32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F10379"/>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p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1A1758"/>
    <w:pPr>
      <w:keepNext/>
      <w:keepLines/>
      <w:spacing w:after="120" w:before="120" w:line="240" w:lineRule="auto"/>
      <w:ind w:firstLine="0"/>
      <w:jc w:val="center"/>
    </w:pPr>
    <w:rPr>
      <w:rFonts w:cstheme="majorBidi" w:eastAsiaTheme="majorEastAsia"/>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C975EF"/>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rsid w:val="001A1758"/>
    <w:pPr>
      <w:tabs>
        <w:tab w:pos="4680" w:val="center"/>
        <w:tab w:pos="9360" w:val="right"/>
      </w:tabs>
      <w:spacing w:after="0"/>
    </w:pPr>
  </w:style>
  <w:style w:customStyle="1" w:styleId="HeaderChar" w:type="character">
    <w:name w:val="Header Char"/>
    <w:basedOn w:val="DefaultParagraphFont"/>
    <w:link w:val="Header"/>
    <w:rsid w:val="001A1758"/>
  </w:style>
  <w:style w:styleId="Footer" w:type="paragraph">
    <w:name w:val="footer"/>
    <w:basedOn w:val="Normal"/>
    <w:link w:val="FooterChar"/>
    <w:rsid w:val="001A1758"/>
    <w:pPr>
      <w:tabs>
        <w:tab w:pos="4680" w:val="center"/>
        <w:tab w:pos="9360" w:val="right"/>
      </w:tabs>
      <w:spacing w:after="0"/>
    </w:pPr>
  </w:style>
  <w:style w:customStyle="1" w:styleId="FooterChar" w:type="character">
    <w:name w:val="Footer Char"/>
    <w:basedOn w:val="DefaultParagraphFont"/>
    <w:link w:val="Footer"/>
    <w:rsid w:val="001A1758"/>
  </w:style>
  <w:style w:styleId="PageNumber" w:type="character">
    <w:name w:val="page number"/>
    <w:basedOn w:val="DefaultParagraphFont"/>
    <w:rsid w:val="00EA5F9B"/>
  </w:style>
  <w:style w:styleId="NormalIndent" w:type="paragraph">
    <w:name w:val="Normal Indent"/>
    <w:basedOn w:val="Normal"/>
    <w:rsid w:val="001A1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2573</Words>
  <Characters>14670</Characters>
  <Application>Microsoft Office Word</Application>
  <DocSecurity>0</DocSecurity>
  <Lines>122</Lines>
  <Paragraphs>34</Paragraphs>
  <ScaleCrop>false</ScaleCrop>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School Desegregation: Critical Meditations on Anti-Blackness in the Post Brown Era</dc:title>
  <dc:creator/>
  <cp:keywords/>
  <dcterms:created xsi:type="dcterms:W3CDTF">2024-11-05T15:19:33Z</dcterms:created>
  <dcterms:modified xsi:type="dcterms:W3CDTF">2024-11-05T15:19:33Z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brown-references.bib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ies>
</file>