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t xml:space="preserve">Editor info: Ebony McGee, PhD</w:t>
      </w:r>
    </w:p>
    <w:p>
      <w:pPr>
        <w:pStyle w:val="BodyText"/>
      </w:pPr>
      <w:r>
        <w:t xml:space="preserve">Section info:</w:t>
      </w:r>
    </w:p>
    <w:p>
      <w:pPr>
        <w:pStyle w:val="BodyText"/>
      </w:pPr>
      <w:r>
        <w:t xml:space="preserve">Paper info:</w:t>
      </w:r>
    </w:p>
    <w:p>
      <w:r>
        <w:br w:type="page"/>
      </w:r>
    </w:p>
    <w:bookmarkStart w:id="20" w:name="abstract"/>
    <w:p>
      <w:pPr>
        <w:pStyle w:val="Heading1"/>
      </w:pPr>
      <w:r>
        <w:t xml:space="preserve">Abstract</w:t>
      </w:r>
    </w:p>
    <w:p>
      <w:pPr>
        <w:pStyle w:val="FirstParagraph"/>
      </w:pPr>
      <w:r>
        <w:t xml:space="preserve">In the discourse on racism in science, medicine, and technology, systems are identified as a foundation and marker to longstanding and intersecting racial injustices. The critiques of dominant ideas and prevailing practices of a discipline often stem from the historical foundations of those discipline, as evidenced by references to its</w:t>
      </w:r>
      <w:r>
        <w:t xml:space="preserve"> </w:t>
      </w:r>
      <w:r>
        <w:t xml:space="preserve">“</w:t>
      </w:r>
      <w:r>
        <w:t xml:space="preserve">founding fathers</w:t>
      </w:r>
      <w:r>
        <w:t xml:space="preserve">”</w:t>
      </w:r>
      <w:r>
        <w:t xml:space="preserve"> </w:t>
      </w:r>
      <w:r>
        <w:t xml:space="preserve">and foundational theories and practices. In the contemporary context, dominant practices reflect the professional priorities that arise from these ideas, frequently perpetuating the status quo. This article employs a mixed-methodological approach to explore the nature of the intellectual field in relation to how scholars have challenged these dominant ideas and practices concerning racism in STEM (science, technology, engineering, and mathematics). We develop a framework and a critical inquiry method to illustrate the various notions of racism.</w:t>
      </w:r>
    </w:p>
    <w:p>
      <w:pPr>
        <w:pStyle w:val="BodyText"/>
      </w:pPr>
      <w:r>
        <w:rPr>
          <w:iCs/>
          <w:i/>
        </w:rPr>
        <w:t xml:space="preserve">Keywords</w:t>
      </w:r>
      <w:r>
        <w:t xml:space="preserve">: STEM, racial, racist,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society, racialized communities, and the families and individuals that make up those communities.</w:t>
      </w:r>
      <w:r>
        <w:t xml:space="preserve"> </w:t>
      </w:r>
      <w:r>
        <w:t xml:space="preserve">As research scholars increasingly cross disciplinary boundaries to make sense of how racism is both studied and understood in different contexts and across various ecosystems, overwhelming evidence is generated that shows racism’s widespread impact in a material sense.</w:t>
      </w:r>
      <w:r>
        <w:t xml:space="preserve"> </w:t>
      </w:r>
      <w:r>
        <w:t xml:space="preserve">The ways that the various social, emotional, and material impacts of racist attitudes and practices are understood are the result of many studies across different disciplines.</w:t>
      </w:r>
      <w:r>
        <w:t xml:space="preserve"> </w:t>
      </w:r>
      <w:r>
        <w:t xml:space="preserve">Each of these disciplines identify and explore the various mechanisms through which racists actions and policies play out in the real world with associated levels of focus on different contexts.</w:t>
      </w:r>
      <w:r>
        <w:t xml:space="preserve"> </w:t>
      </w:r>
      <w:r>
        <w:t xml:space="preserve">For example, racism studied in psychology may deal more with the social and emotional impacts of racism where racism as studied in economics may deal more with measures of the various drawbacks and payoffs of racism.</w:t>
      </w:r>
      <w:r>
        <w:t xml:space="preserve"> </w:t>
      </w:r>
      <w:r>
        <w:t xml:space="preserve">As more studies are produced in this interdisciplinary body of scholarship, that not only identifies how racism holds consequences that are unique to each of the contexts in which racists attitudes and actions manifest, they frame racism’s similarities across geographic, social, and broader ecological boundaries.</w:t>
      </w:r>
    </w:p>
    <w:p>
      <w:pPr>
        <w:pStyle w:val="BodyText"/>
      </w:pPr>
      <w:r>
        <w:t xml:space="preserve">As a working example in this paper, we discuss how scholars in sociology have structured the concept and meaning of racism through different perspectives. The individual perspectives (a single person’s experience), and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are differentiated from both the cultural and structural perspectives.</w:t>
      </w:r>
      <w:r>
        <w:t xml:space="preserve"> </w:t>
      </w:r>
      <w:r>
        <w:t xml:space="preserve">Many scholars consider the varied intersectional frameworks and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p>
      <w:pPr>
        <w:pStyle w:val="FirstParagraph"/>
      </w:pPr>
      <w:r>
        <w:t xml:space="preserve">The interdisciplinary framing of STEM and the term’s use across both geographical and theoretical boundaries establishes a need to explore how discussions of racism have been codified in STEM and in the broader collection of studies on science, technology, engineering, and mathematics.</w:t>
      </w:r>
      <w:r>
        <w:t xml:space="preserve"> </w:t>
      </w:r>
      <w:r>
        <w:t xml:space="preserve">Here, we notice that studies of racism have also been situated in broader engagements with the sciences, technology, medicine, engineering, mathematics, psychology, and the many STEM related disciplines.</w:t>
      </w:r>
      <w:r>
        <w:t xml:space="preserve"> </w:t>
      </w:r>
      <w:r>
        <w:t xml:space="preserve">We use the term</w:t>
      </w:r>
      <w:r>
        <w:t xml:space="preserve"> </w:t>
      </w:r>
      <w:r>
        <w:t xml:space="preserve"> </w:t>
      </w:r>
      <w:r>
        <w:t xml:space="preserve">to identify the context-rich evidence identifiable in the syntactical structures and keywords used by researchers across disciplines, and their diverse representations of racism</w:t>
      </w:r>
      <w:r>
        <w:t xml:space="preserve"> </w:t>
      </w:r>
      <w:r>
        <w:t xml:space="preserve">(Bonilla-Silva, 2021)</w:t>
      </w:r>
      <w:r>
        <w:t xml:space="preserve">.</w:t>
      </w:r>
      <w:r>
        <w:t xml:space="preserve"> </w:t>
      </w:r>
      <w:r>
        <w:t xml:space="preserve">These representations also relate to conceptual and methodological inquiries which serve to inform how different meanings may be constructed.</w:t>
      </w:r>
      <w:r>
        <w:t xml:space="preserve"> </w:t>
      </w:r>
      <w:r>
        <w:t xml:space="preserve">These questions, given the increasingly computationally-dependent nature in studies of bibliometric data and citations, systematic reviews, and meta-analytic studies, calls for further engagement with different analytic priorities across disciplinary areas, as noted by</w:t>
      </w:r>
      <w:r>
        <w:t xml:space="preserve"> </w:t>
      </w:r>
      <w:r>
        <w:t xml:space="preserve">Shiao &amp; Woody (2021)</w:t>
      </w:r>
      <w:r>
        <w:t xml:space="preserve">.</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bookmarkEnd w:id="23"/>
    <w:bookmarkStart w:id="28" w:name="Xacc7527d71a2929dc93858038f62db75678f486"/>
    <w:p>
      <w:pPr>
        <w:pStyle w:val="Heading2"/>
      </w:pPr>
      <w:r>
        <w:t xml:space="preserve">Variation in the study of racism by discipline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a-quantitative-historical-framework"/>
    <w:p>
      <w:pPr>
        <w:pStyle w:val="Heading3"/>
      </w:pPr>
      <w:r>
        <w:t xml:space="preserve">A Quantitative Historical Framework</w:t>
      </w:r>
    </w:p>
    <w:p>
      <w:pPr>
        <w:pStyle w:val="FirstParagraph"/>
      </w:pPr>
      <w:r>
        <w:t xml:space="preserve">We use the components of</w:t>
      </w:r>
      <w:r>
        <w:t xml:space="preserve"> </w:t>
      </w:r>
      <w:r>
        <w:rPr>
          <w:iCs/>
          <w:i/>
        </w:rPr>
        <w:t xml:space="preserve">complexity, specificity, and variation</w:t>
      </w:r>
      <w:r>
        <w:t xml:space="preserve"> </w:t>
      </w:r>
      <w:r>
        <w:t xml:space="preserve">to inform the analytic framework and data set development which was used to conduct our analysis on selected data from studies on racism in STEM.</w:t>
      </w:r>
      <w:r>
        <w:t xml:space="preserve"> </w:t>
      </w:r>
      <w:r>
        <w:t xml:space="preserve">This framework allows us to systematically dissect and understand the multifaceted nature of racism research, offering a structured approach which considers the conditions, and histories, in the lines of inquiry for which to examine the details embedded within bibliometric data.</w:t>
      </w:r>
      <w:r>
        <w:t xml:space="preserve"> </w:t>
      </w:r>
      <w:r>
        <w:t xml:space="preserve">By leveraging the quantitative historical framework, we provide a comprehensive analysis as noted by various systematic inquiries, and we nuance this analysis to captures the depth and breadth of scholarly work across different disciplinary boundaries.</w:t>
      </w:r>
      <w:r>
        <w:t xml:space="preserve"> </w:t>
      </w:r>
      <w:r>
        <w:t xml:space="preserve">This framework enhances the analysis of racism in studies by discipline, providing a structured and multifaceted approach that captures the complexity, specificity, and variation inherent across this area of study.</w:t>
      </w:r>
    </w:p>
    <w:p>
      <w:pPr>
        <w:pStyle w:val="BodyText"/>
      </w:pPr>
      <w:r>
        <w:t xml:space="preserve">The quantitative historical framework is situated primarily around a consideration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2" w:name="data-and-methods"/>
    <w:p>
      <w:pPr>
        <w:pStyle w:val="Heading1"/>
      </w:pPr>
      <w:r>
        <w:t xml:space="preserve">Data and Methods</w:t>
      </w:r>
    </w:p>
    <w:p>
      <w:pPr>
        <w:pStyle w:val="FirstParagraph"/>
      </w:pPr>
      <w:r>
        <w:t xml:space="preserve">In this section, we explore the methods used to develop insights using a large-scale computational critique in fostering an understanding of the intellectual structure of research on racism in STEM.</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p>
      <w:pPr>
        <w:pStyle w:val="BodyText"/>
      </w:pPr>
      <w:r>
        <w:t xml:space="preserve">The work in traditional cliometrics provides a large portion of the critixal frames through which data were explored for the study.</w:t>
      </w:r>
      <w:r>
        <w:t xml:space="preserve"> </w:t>
      </w:r>
      <w:r>
        <w:t xml:space="preserve">At the time of the study, no software packages provided for the integration of differential perspectives in how data may be developed, highlight that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bookmarkStart w:id="35"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2"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w:t>
      </w:r>
      <w:r>
        <w:t xml:space="preserve"> </w:t>
      </w:r>
      <w:r>
        <w:t xml:space="preserve">In the review of research on racism in STEM and across other disciplinary areas, like STS, we identified</w:t>
      </w:r>
      <w:r>
        <w:t xml:space="preserve"> </w:t>
      </w:r>
      <w:r>
        <w:t xml:space="preserve"> </w:t>
      </w:r>
      <w:r>
        <w:t xml:space="preserve">of racism in published academic research through the year 2023.</w:t>
      </w:r>
      <w:r>
        <w:t xml:space="preserve"> </w:t>
      </w:r>
      <w:r>
        <w:t xml:space="preserve">We used a sample to study associations, and we explored variation in other samples.</w:t>
      </w:r>
      <w:r>
        <w:t xml:space="preserve"> </w:t>
      </w:r>
      <w:r>
        <w:t xml:space="preserve">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w:t>
      </w:r>
      <w:r>
        <w:t xml:space="preserve"> </w:t>
      </w:r>
      <w:r>
        <w:t xml:space="preserve">Some primary frameworks used include a host of critixal theories, and specific mentions of intersectionality, critical race theory, and postcolonial perspectives.</w:t>
      </w:r>
      <w:r>
        <w:t xml:space="preserve"> </w:t>
      </w:r>
      <w:r>
        <w:t xml:space="preserve">Applying these frameworks has allowed scholars to understand the varying ways that racism interacts with other forms of oppression, such as sexism, ableism, and classism; and further analyze how racism operates within structures and the standard, everyday practices in STEM settings.</w:t>
      </w:r>
      <w:r>
        <w:t xml:space="preserve"> </w:t>
      </w:r>
      <w:r>
        <w:t xml:space="preserve">These studies encourage the analysis of power dynamics, institutional policies, and cultural norms that contribute to the reproduction of racial attitudes, behaviors, and systems of inequality.</w:t>
      </w:r>
      <w:r>
        <w:t xml:space="preserve"> </w:t>
      </w:r>
      <w:r>
        <w:t xml:space="preserve">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w:t>
      </w:r>
      <w:r>
        <w:t xml:space="preserve"> </w:t>
      </w:r>
      <w:r>
        <w:t xml:space="preserve">Researchers also describe the importance of identifying communities and examples that represent equitable scientific practice in the development of more inclusive societies.</w:t>
      </w:r>
    </w:p>
    <w:p>
      <w:r>
        <w:br w:type="page"/>
      </w:r>
    </w:p>
    <w:p>
      <w:pPr>
        <w:pStyle w:val="TableCaption"/>
      </w:pPr>
      <w:r>
        <w:t xml:space="preserve">Frameworks on the conceptualization and meaning of racism</w:t>
      </w:r>
    </w:p>
    <w:tbl>
      <w:tblPr>
        <w:tblStyle w:val="Table"/>
        <w:tblW w:type="pct" w:w="5000"/>
        <w:tblLook w:firstRow="0" w:lastRow="0" w:firstColumn="0" w:lastColumn="0" w:noHBand="0" w:noVBand="0" w:val="0000"/>
        <w:jc w:val="start"/>
        <w:tblCaption w:val="Frameworks on the conceptualization and meaning of racism"/>
      </w:tblPr>
      <w:tblGrid>
        <w:gridCol w:w="2329"/>
        <w:gridCol w:w="5590"/>
      </w:tblGrid>
      <w:tr>
        <w:tc>
          <w:tcPr/>
          <w:p>
            <w:pPr>
              <w:pStyle w:val="Heading1"/>
              <w:jc w:val="left"/>
            </w:pPr>
            <w:bookmarkStart w:id="30" w:name="bonilla-silva-1997"/>
            <w:r>
              <w:rPr>
                <w:bCs/>
                <w:b/>
              </w:rPr>
              <w:t xml:space="preserve">Bonilla-Silva (1997)</w:t>
            </w:r>
            <w:bookmarkEnd w:id="30"/>
          </w:p>
        </w:tc>
        <w:tc>
          <w:tcPr/>
          <w:p>
            <w:pPr>
              <w:pStyle w:val="Heading1"/>
              <w:jc w:val="left"/>
            </w:pPr>
            <w:bookmarkStart w:id="31" w:name="shiao-and-woody-2021"/>
            <w:r>
              <w:rPr>
                <w:bCs/>
                <w:b/>
              </w:rPr>
              <w:t xml:space="preserve">Shiao and Woody (2021)</w:t>
            </w:r>
            <w:bookmarkEnd w:id="31"/>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Attitudes |</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pStyle w:val="Compact"/>
              <w:jc w:val="left"/>
            </w:pPr>
            <w:r>
              <w:t xml:space="preserve">(3</w:t>
            </w:r>
            <m:oMath>
              <m:sSub>
                <m:e>
                  <m:r>
                    <m:t>​</m:t>
                  </m:r>
                </m:e>
                <m:sub>
                  <m:r>
                    <m:t>1</m:t>
                  </m:r>
                </m:sub>
              </m:sSub>
            </m:oMath>
            <w:r>
              <w:t xml:space="preserve">) Structure: Pre-existing consequential inequalities</w:t>
            </w:r>
          </w:p>
        </w:tc>
      </w:tr>
      <w:tr>
        <w:tc>
          <w:tcPr/>
          <w:p>
            <w:pPr>
              <w:pStyle w:val="Compact"/>
            </w:pPr>
          </w:p>
        </w:tc>
        <w:tc>
          <w:tcPr/>
          <w:p>
            <w:pPr>
              <w:pStyle w:val="Compact"/>
              <w:jc w:val="left"/>
            </w:pPr>
            <w:r>
              <w:t xml:space="preserve">(3</w:t>
            </w:r>
            <m:oMath>
              <m:sSub>
                <m:e>
                  <m:r>
                    <m:t>​</m:t>
                  </m:r>
                </m:e>
                <m:sub>
                  <m:r>
                    <m:t>2</m:t>
                  </m:r>
                </m:sub>
              </m:sSub>
            </m:oMath>
            <w:r>
              <w:t xml:space="preserve">) Structure: Processes that create or maintain racial dominance</w:t>
            </w:r>
          </w:p>
        </w:tc>
      </w:tr>
    </w:tbl>
    <w:p>
      <w:r>
        <w:br w:type="page"/>
      </w:r>
    </w:p>
    <w:bookmarkEnd w:id="32"/>
    <w:bookmarkStart w:id="33" w:name="analytic-framework-for-the-replication"/>
    <w:p>
      <w:pPr>
        <w:pStyle w:val="Heading3"/>
      </w:pPr>
      <w:r>
        <w:t xml:space="preserve">Analytic framework for the replication</w:t>
      </w:r>
    </w:p>
    <w:p>
      <w:pPr>
        <w:pStyle w:val="FirstParagraph"/>
      </w:pPr>
      <w:r>
        <w:t xml:space="preserve">At the intersection of cliometrics and quantitative historical methods is a common ground in the utilization of historical records to derive insights and draw conclusions from large-scale data.</w:t>
      </w:r>
      <w:r>
        <w:t xml:space="preserve"> </w:t>
      </w:r>
      <w:r>
        <w:t xml:space="preserve">Both approaches employ systematic methodologies that examine databases and related information in order to uncover patterns.</w:t>
      </w:r>
      <w:r>
        <w:t xml:space="preserve"> </w:t>
      </w:r>
      <w:r>
        <w:t xml:space="preserve">The two frameworks diverge in their primary objectives, however, by the nature of their respective disciplinary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r>
        <w:t xml:space="preserve"> </w:t>
      </w:r>
      <w:r>
        <w:t xml:space="preserve">Traditional bibliometric analysis and cliometrics primarily focuses on the quantitative assessment of scholarly publications, including citation patterns, authorship networks, and journal impact factors; it aims to evaluate research productivity, influence, and trends within specific disciplines or research communities.</w:t>
      </w:r>
      <w:r>
        <w:t xml:space="preserve"> </w:t>
      </w:r>
      <w:r>
        <w:t xml:space="preserve">Quantitative historical methods, however, aim to uncover and analyze patterns in historical data based on a broader conceptual framework; in the present case, publications at the intersection of racism and STEM.</w:t>
      </w:r>
      <w:r>
        <w:t xml:space="preserve"> </w:t>
      </w:r>
      <w:r>
        <w:t xml:space="preserve">The contributions from quantitative historical methods supports a extended analysis that supports the role of research on racism in the broader social and cultural academic contexts.</w:t>
      </w:r>
      <w:r>
        <w:t xml:space="preserve"> </w:t>
      </w:r>
      <w:r>
        <w:t xml:space="preserve">Traditional cliometrics may overlook these contributions based on the tradition to examine developments and differences within a single field of study.</w:t>
      </w:r>
    </w:p>
    <w:p>
      <w:pPr>
        <w:pStyle w:val="BodyText"/>
      </w:pPr>
      <w:r>
        <w:t xml:space="preserve">The analytic framework for the study was an iterative process that included insights from quantitative historical methods</w:t>
      </w:r>
      <w:r>
        <w:t xml:space="preserve"> </w:t>
      </w:r>
      <w:r>
        <w:t xml:space="preserve">(Haskins &amp; Jeffrey, 2011)</w:t>
      </w:r>
      <w:r>
        <w:t xml:space="preserve">, elements from cliometric analytic methods</w:t>
      </w:r>
      <w:r>
        <w:t xml:space="preserve"> </w:t>
      </w:r>
      <w:r>
        <w:t xml:space="preserve">(Aria &amp; Cuccurullo, 2017)</w:t>
      </w:r>
      <w:r>
        <w:t xml:space="preserve">, and qualitative meta synthesis</w:t>
      </w:r>
      <w:r>
        <w:t xml:space="preserve"> </w:t>
      </w:r>
      <w:r>
        <w:t xml:space="preserve">(Thunder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(2021), and adopts some of the methods engaged in the systematic processes in related studies in education on critical content.</w:t>
      </w:r>
      <w:r>
        <w:t xml:space="preserve"> </w:t>
      </w:r>
      <w:r>
        <w:t xml:space="preserve">In our study, we focus on the distribution of research across domains and our process on extracting information from bibliographic entries and citations to examine the</w:t>
      </w:r>
      <w:r>
        <w:t xml:space="preserve"> </w:t>
      </w:r>
      <w:r>
        <w:t xml:space="preserve">.</w:t>
      </w:r>
      <w:r>
        <w:t xml:space="preserve"> </w:t>
      </w:r>
      <w:r>
        <w:t xml:space="preserve">As we sought to identify the meaning of racism in STEM, we understood that a diverse collection of disciplines and foundations can be found in STEM (e.g., physics, psychology, zoology).</w:t>
      </w:r>
      <w:r>
        <w:t xml:space="preserve"> </w:t>
      </w:r>
      <w:r>
        <w:t xml:space="preserve">We notice that scholarship at this intersection is parsed across multiple disciplinary boundaries and domains of study described by category and research area.</w:t>
      </w:r>
      <w:r>
        <w:t xml:space="preserve"> </w:t>
      </w:r>
      <w:r>
        <w:t xml:space="preserve">As a result, we develop a conceptual replication of</w:t>
      </w:r>
      <w:r>
        <w:t xml:space="preserve"> </w:t>
      </w:r>
      <w:r>
        <w:t xml:space="preserve">Shiao &amp; Woody (2021)</w:t>
      </w:r>
      <w:r>
        <w:t xml:space="preserve">}’s (2021) study to examine how various</w:t>
      </w:r>
      <w:r>
        <w:t xml:space="preserve"> </w:t>
      </w:r>
      <w:r>
        <w:t xml:space="preserve"> </w:t>
      </w:r>
      <w:r>
        <w:t xml:space="preserve">of racism in STEM relate to the major constructions of racism identified in the discipline of sociology.</w:t>
      </w:r>
      <w:r>
        <w:t xml:space="preserve"> </w:t>
      </w:r>
      <w:r>
        <w:t xml:space="preserve">While study results present a summary of the research literature on racism and STEM, here we build an analytic process around the conceptual framework through which we identify studies on racism and STEM.</w:t>
      </w:r>
    </w:p>
    <w:p>
      <w:pPr>
        <w:pStyle w:val="BodyText"/>
      </w:pPr>
      <w:r>
        <w:t xml:space="preserve">By employing integrated techniques in our analysis, the quantitative historical component allowed us to examine any historical phenomena and identify related concepts in the study data.</w:t>
      </w:r>
      <w:r>
        <w:t xml:space="preserve"> </w:t>
      </w:r>
      <w:r>
        <w:t xml:space="preserve">Our use of bibliometric analytic techniques center on the study of scholarly texts and their diverse \textit{representations; so that we may delve further into the exploration of historical phenomena using quantitative measures.</w:t>
      </w:r>
      <w:r>
        <w:t xml:space="preserve"> </w:t>
      </w:r>
      <w:r>
        <w:t xml:space="preserve">While further research is called for in the general area of database research (</w:t>
      </w:r>
      <w:r>
        <w:t xml:space="preserve">Airyalat et al. (2019)</w:t>
      </w:r>
      <w:r>
        <w:t xml:space="preserve">; 2019;</w:t>
      </w:r>
      <w:r>
        <w:t xml:space="preserve"> </w:t>
      </w:r>
      <w:r>
        <w:t xml:space="preserve">Yang &amp; Meho (2006)</w:t>
      </w:r>
      <w:r>
        <w:t xml:space="preserve">; 2006), there is an ongoing need to consider extensions to tradition in bibliometric analyses.</w:t>
      </w:r>
      <w:r>
        <w:t xml:space="preserve"> </w:t>
      </w:r>
      <w:r>
        <w:t xml:space="preserve">These new considerations would look for various limitations in the method and provide grounding contexts that can help frame scholars’ decisions with the use of certain terms and lexical patterns that prescribe meaning.</w:t>
      </w:r>
    </w:p>
    <w:p>
      <w:r>
        <w:br w:type="page"/>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Figure 1</w:t>
            </w:r>
            <w:r>
              <w:t xml:space="preserve">. Analytic framework for the study</w:t>
            </w:r>
          </w:p>
        </w:tc>
      </w:tr>
    </w:tbl>
    <w:p>
      <w:pPr>
        <w:pStyle w:val="ImageCaption"/>
      </w:pPr>
      <w:r>
        <w:rPr>
          <w:bCs/>
          <w:b/>
        </w:rPr>
        <w:t xml:space="preserve">Figure 1</w:t>
      </w:r>
      <w:r>
        <w:t xml:space="preserve">. Analytic framework for the study</w:t>
      </w:r>
    </w:p>
    <w:p>
      <w:r>
        <w:br w:type="page"/>
      </w:r>
    </w:p>
    <w:bookmarkEnd w:id="33"/>
    <w:bookmarkStart w:id="34"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4"/>
    <w:bookmarkEnd w:id="35"/>
    <w:bookmarkStart w:id="40" w:name="data"/>
    <w:p>
      <w:pPr>
        <w:pStyle w:val="Heading2"/>
      </w:pPr>
      <w:r>
        <w:t xml:space="preserve">Data</w:t>
      </w:r>
    </w:p>
    <w:bookmarkStart w:id="37"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r>
        <w:br w:type="page"/>
      </w:r>
    </w:p>
    <w:p>
      <w:pPr>
        <w:pStyle w:val="BodyText"/>
      </w:pPr>
      <w:r>
        <w:t xml:space="preserve">Table: Results of title keyword search</w:t>
      </w:r>
      <w:r>
        <w:rPr>
          <w:rStyle w:val="FootnoteReference"/>
        </w:rPr>
        <w:footnoteReference w:id="36"/>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bookmarkEnd w:id="37"/>
    <w:bookmarkStart w:id="38"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r>
        <w:t xml:space="preserve"> </w:t>
      </w:r>
      <w:r>
        <w:t xml:space="preserve">Although 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 our reduction method integrated a critical analysis of data loss and considered the various ways that contemporary methods may not include specific articles.</w:t>
      </w:r>
    </w:p>
    <w:p>
      <w:r>
        <w:br w:type="page"/>
      </w:r>
    </w:p>
    <w:bookmarkEnd w:id="38"/>
    <w:bookmarkStart w:id="39" w:name="inclusion-and-exclusion-criteria"/>
    <w:p>
      <w:pPr>
        <w:pStyle w:val="Heading3"/>
      </w:pPr>
      <w:r>
        <w:t xml:space="preserve">Inclusion and exclusion criteria</w:t>
      </w:r>
    </w:p>
    <w:p>
      <w:pPr>
        <w:pStyle w:val="FirstParagraph"/>
      </w:pPr>
      <w:r>
        <w:t xml:space="preserve">Articles selected for the study after data reduction were analyzed to ensure that they met a particular set of criteria to include or exclude the studies. There were five inclusion criteria (IC) for the study. IC1 required that the record contain the keyword patterns of racism, and some derivative of STEM, identified in either the title (TI), abstract (AB), or author keywords (DE) in the database. IC2 required that the record also had to be published before 2024. IC3 required that the record had to be originally written in English and IC4 required that the record had to appear in a peer-reviewed journal as an original journal article. IC5 required a more detailed analysis of the database records, to ensure that the records’ problem, purpose, or core question(s) center on the topical subjects of the analysis as opposed to only mentioning author keywords (DE). There were two exclusion criteria (EC) for the studies. EC1 removed records that did not constitute a complete citation record. EC2 removed records that contained ancillary content that may not be focused on a clear and/or related research question.</w:t>
      </w:r>
    </w:p>
    <w:bookmarkEnd w:id="39"/>
    <w:bookmarkEnd w:id="40"/>
    <w:bookmarkStart w:id="41" w:name="document-matrix-summaries"/>
    <w:p>
      <w:pPr>
        <w:pStyle w:val="Heading2"/>
      </w:pPr>
      <w:r>
        <w:t xml:space="preserve">Document matrix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r>
        <w:t xml:space="preserve"> </w:t>
      </w:r>
      <w:r>
        <w:t xml:space="preserve">Document matrix 1 (M1) includes the records from education journals.</w:t>
      </w:r>
      <w:r>
        <w:t xml:space="preserve"> </w:t>
      </w:r>
      <w:r>
        <w:t xml:space="preserve">Document matrix 2 (M2) includes those records from STEM and non-education journals.</w:t>
      </w:r>
    </w:p>
    <w:p>
      <w:pPr>
        <w:pStyle w:val="BodyText"/>
      </w:pPr>
      <w:r>
        <w:t xml:space="preserve">For example, in the STEM education research indices, Kendi (2016) is an outlier in the co-citation network.</w:t>
      </w:r>
      <w:r>
        <w:t xml:space="preserve"> </w:t>
      </w:r>
      <w:r>
        <w:t xml:space="preserve">However, in the STEM indices, the same author is a central node.</w:t>
      </w:r>
      <w:r>
        <w:t xml:space="preserve"> </w:t>
      </w:r>
      <w:r>
        <w:t xml:space="preserve">This difference points to the varied intellectual histories within the index work.</w:t>
      </w:r>
      <w:r>
        <w:t xml:space="preserve"> </w:t>
      </w:r>
      <w:r>
        <w:t xml:space="preserve">Still, one limitation of this conclusion is that the disciplinary tags (indices) and outlets (journals) are not random but include some amount of random variation.</w:t>
      </w:r>
    </w:p>
    <w:p>
      <w:pPr>
        <w:pStyle w:val="BodyText"/>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1"/>
    <w:bookmarkEnd w:id="42"/>
    <w:bookmarkStart w:id="46" w:name="findings"/>
    <w:p>
      <w:pPr>
        <w:pStyle w:val="Heading1"/>
      </w:pPr>
      <w:r>
        <w:t xml:space="preserve">Findings</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w:t>
      </w:r>
      <w:r>
        <w:rPr>
          <w:bCs/>
          <w:b/>
        </w:rPr>
        <w:t xml:space="preserve">bonillasilva1997?</w:t>
      </w:r>
      <w:r>
        <w:t xml:space="preserve">)</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Given our focus on racism in STEM, we found that the domain of preexisting consequential inequalities emerged as the most significant aspect in our study.</w:t>
      </w:r>
      <w:r>
        <w:t xml:space="preserve"> </w:t>
      </w:r>
      <w:r>
        <w:t xml:space="preserve">This domain appears to be the biggest hurdle and is most affected by racism in STEM, as it encompasses deeply entrenched disparities in access to education, mentorship, funding, and career advancement opportunities.</w:t>
      </w:r>
      <w:r>
        <w:t xml:space="preserve"> </w:t>
      </w:r>
      <w:r>
        <w:t xml:space="preserve">These inequalities create a self-reinforcing cycle that maintains racial dominance within STEM fields.</w:t>
      </w:r>
      <w:r>
        <w:t xml:space="preserve"> </w:t>
      </w:r>
      <w:r>
        <w:t xml:space="preserve">Our findings suggest that addressing racism in STEM requires a multi-faceted approach that acknowledges and targets all four domains, with particular emphasis on dismantling the preexisting consequential inequalities that serve as the foundation for ongoing racial disparities in STEM.</w:t>
      </w:r>
    </w:p>
    <w:bookmarkStart w:id="43" w:name="Xd137cec3b7b76e64a928a6b055bd92de3961d16"/>
    <w:p>
      <w:pPr>
        <w:pStyle w:val="Heading2"/>
      </w:pPr>
      <w:r>
        <w:t xml:space="preserve">Distribution of research by academic discipline</w:t>
      </w:r>
    </w:p>
    <w:p>
      <w:pPr>
        <w:pStyle w:val="FirstParagraph"/>
      </w:pPr>
      <w:r>
        <w:t xml:space="preserve">We identify the distribution of research on racism in STEM across academic disciplines to help navigate the expanding research literature and intersecting areas of study.</w:t>
      </w:r>
      <w:r>
        <w:t xml:space="preserve"> </w:t>
      </w:r>
      <w:r>
        <w:t xml:space="preserve">We examined various database options to search and retrieve published scholarly studies.</w:t>
      </w:r>
      <w:r>
        <w:t xml:space="preserve"> </w:t>
      </w:r>
      <w:r>
        <w:t xml:space="preserve">Among these databases, the Web of Science (WoS) was situated very early in our search as one of the most widely-expanding citation databases used by researchers.</w:t>
      </w:r>
      <w:r>
        <w:t xml:space="preserve"> </w:t>
      </w:r>
      <w:r>
        <w:t xml:space="preserve">WoS is often compared to other well-known citation databases and networks such as the Google Scholar, Pubmed, and Scopus databases.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McGee et al., 2017; McGee, 2021)</w:t>
      </w:r>
      <w:r>
        <w:t xml:space="preserve">; studies on the various cultural schemas, conceptions of race and racialization, and intersecting identities [@{aldana2019youth;</w:t>
      </w:r>
      <w:r>
        <w:t xml:space="preserve"> </w:t>
      </w:r>
      <w:r>
        <w:t xml:space="preserve">Dancy et al. (2020)</w:t>
      </w:r>
      <w:r>
        <w:t xml:space="preserve">;</w:t>
      </w:r>
      <w:r>
        <w:t xml:space="preserve"> </w:t>
      </w:r>
      <w:r>
        <w:t xml:space="preserve">Leyva et al. (2022)</w:t>
      </w:r>
      <w:r>
        <w:t xml:space="preserve">;</w:t>
      </w:r>
      <w:r>
        <w:t xml:space="preserve"> </w:t>
      </w:r>
      <w:r>
        <w:t xml:space="preserve">Leyva &amp; Joseph (2023)</w:t>
      </w:r>
      <w:r>
        <w:t xml:space="preserve">;</w:t>
      </w:r>
      <w:r>
        <w:t xml:space="preserve"> </w:t>
      </w:r>
      <w:r>
        <w:t xml:space="preserve">McGee (2016)</w:t>
      </w:r>
      <w:r>
        <w:t xml:space="preserve">;</w:t>
      </w:r>
      <w:r>
        <w:t xml:space="preserve"> </w:t>
      </w:r>
      <w:r>
        <w:t xml:space="preserve">McGee &amp; Bentley (2017)</w:t>
      </w:r>
      <w:r>
        <w:t xml:space="preserve">;</w:t>
      </w:r>
      <w:r>
        <w:t xml:space="preserve"> </w:t>
      </w:r>
      <w:r>
        <w:t xml:space="preserve">Nasir &amp; Vakil (2017)</w:t>
      </w:r>
      <w:r>
        <w:t xml:space="preserve">;</w:t>
      </w:r>
      <w:r>
        <w:t xml:space="preserve"> </w:t>
      </w:r>
      <w:r>
        <w:t xml:space="preserve">Tate &amp; Page (2020)</w:t>
      </w:r>
      <w:r>
        <w:t xml:space="preserve">;</w:t>
      </w:r>
      <w:r>
        <w:t xml:space="preserve"> </w:t>
      </w:r>
      <w:r>
        <w:t xml:space="preserve">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 (</w:t>
      </w:r>
      <w:r>
        <w:t xml:space="preserve">Higgins et al. (2018)</w:t>
      </w:r>
      <w:r>
        <w:t xml:space="preserve">; 2018).</w:t>
      </w:r>
      <w:r>
        <w:t xml:space="preserve"> </w:t>
      </w:r>
      <w:r>
        <w:t xml:space="preserve">Yet, questions remain about how scholars situate ``racism” across different disciplines of study</w:t>
      </w:r>
      <w:r>
        <w:t xml:space="preserve"> </w:t>
      </w:r>
      <w:r>
        <w:t xml:space="preserve">(Bonilla-Silva, 2021; Shiao &amp; Woody, 2021)</w:t>
      </w:r>
      <w:r>
        <w:t xml:space="preserve">.</w:t>
      </w:r>
    </w:p>
    <w:p>
      <w:pPr>
        <w:pStyle w:val="BodyText"/>
      </w:pPr>
      <w:r>
        <w:t xml:space="preserve">Additionally, as research on racism in STEM extends globally, questions about geographical variation and citation network patterns arise.</w:t>
      </w:r>
      <w:r>
        <w:t xml:space="preserve"> </w:t>
      </w:r>
      <w:r>
        <w:t xml:space="preserve">These patterns are further influenced by discipline-specific cultures and the array of social politics around citation practices in academic research</w:t>
      </w:r>
      <w:r>
        <w:t xml:space="preserve"> </w:t>
      </w:r>
      <w:r>
        <w:t xml:space="preserve">(Dion et al., 2018; Mott &amp; Cockayne, 2017)</w:t>
      </w:r>
      <w:r>
        <w:t xml:space="preserve">.</w:t>
      </w:r>
      <w:r>
        <w:t xml:space="preserve"> </w:t>
      </w:r>
      <w:r>
        <w:t xml:space="preserve">In light of these considerations, a set of key questions emerged for our research team: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r>
        <w:t xml:space="preserve"> </w:t>
      </w:r>
      <w:r>
        <w:t xml:space="preserve">Through these questions, our analysis of racism in STEM has implications for both theory and practice.</w:t>
      </w:r>
      <w:r>
        <w:t xml:space="preserve"> </w:t>
      </w:r>
      <w:r>
        <w:t xml:space="preserve">Moreover, this analysis contributes to our knowledge about the various features that connect studies of racism in research regarding STEM.</w:t>
      </w:r>
    </w:p>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End w:id="43"/>
    <w:bookmarkStart w:id="44" w:name="Xb0a00f4bf58bfe8da735f4d0928c1e2645858cf"/>
    <w:p>
      <w:pPr>
        <w:pStyle w:val="Heading2"/>
      </w:pPr>
      <w:r>
        <w:t xml:space="preserve">Global distribution of scholarly research and histories of anti-discrimination legislation</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p>
    <w:p>
      <w:pPr>
        <w:pStyle w:val="BodyText"/>
      </w:pPr>
      <w:r>
        <w:t xml:space="preserve">The United States led this legislative movement with the Title VI of Civil Rights Act, enacted on July 2, 1964.</w:t>
      </w:r>
      <w:r>
        <w:t xml:space="preserve"> </w:t>
      </w:r>
      <w:r>
        <w:t xml:space="preserve">This landmark legislation prohibited discrimination based on race, color, and national origin in federally funded programs.</w:t>
      </w:r>
      <w:r>
        <w:t xml:space="preserve"> </w:t>
      </w:r>
      <w:r>
        <w:t xml:space="preserve">The United Kingdom followed closely, implementing the Race Relations Act on August 8, 1965, marking the country’s first legislation specifically addressing racial discrimination.</w:t>
      </w:r>
    </w:p>
    <w:p>
      <w:pPr>
        <w:pStyle w:val="BodyText"/>
      </w:pPr>
      <w:r>
        <w:t xml:space="preserve">Australia’s response came a decade later with the Racial Discrimination Act, enacted on June 11, 1975.</w:t>
      </w:r>
      <w:r>
        <w:t xml:space="preserve"> </w:t>
      </w:r>
      <w:r>
        <w:t xml:space="preserve">This act was based on the International Convention on the Elimination of all Forms of Racial Discrimination, which opened for signature in 1965 and entered into force in 1969, demonstrating the influence of international agreements on national legislation.</w:t>
      </w:r>
    </w:p>
    <w:p>
      <w:pPr>
        <w:pStyle w:val="BodyText"/>
      </w:pPr>
      <w:r>
        <w:t xml:space="preserve">Canada’s approach evolved over time, beginning with the Canadian Bill of Rights in 1960 and the Human Rights Code in 1962.</w:t>
      </w:r>
      <w:r>
        <w:t xml:space="preserve"> </w:t>
      </w:r>
      <w:r>
        <w:t xml:space="preserve">However, the comprehensive Canadian Human Rights Act was not established until 1977, with subsequent amendments in 1985.</w:t>
      </w:r>
    </w:p>
    <w:p>
      <w:pPr>
        <w:pStyle w:val="BodyText"/>
      </w:pPr>
      <w:r>
        <w:t xml:space="preserve">This distribution of anti-discrimination legislation across these countries over a 20-year period (1964-1985) illustrates a gradual but consistent progression in addressing racial discrimination through federal policy.</w:t>
      </w:r>
      <w:r>
        <w:t xml:space="preserve"> </w:t>
      </w:r>
      <w:r>
        <w:t xml:space="preserve">The timing and content of these laws reflect each nation’s unique sociopolitical context while also demonstrating a shared commitment to combating racial discrimination.</w:t>
      </w:r>
      <w:r>
        <w:t xml:space="preserve"> </w:t>
      </w:r>
      <w:r>
        <w:t xml:space="preserve">This finding underscores the importance of considering both national and international influences when examining the development and distribution of anti-discrimination policies across different countries.</w:t>
      </w:r>
    </w:p>
    <w:bookmarkEnd w:id="44"/>
    <w:bookmarkStart w:id="45" w:name="X72b9aeb1c02f5d28b3fd2222846f7e6006784b8"/>
    <w:p>
      <w:pPr>
        <w:pStyle w:val="Heading2"/>
      </w:pPr>
      <w:r>
        <w:t xml:space="preserve">Specificity and interdisciplinary scholarship across the data sets</w:t>
      </w:r>
    </w:p>
    <w:p>
      <w:pPr>
        <w:pStyle w:val="FirstParagraph"/>
      </w:pPr>
      <w:r>
        <w:t xml:space="preserve">The major concentration of findings situated in the keywords and context attributed to racism by scholars across STEM fields.</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w:t>
      </w:r>
      <w:r>
        <w:t xml:space="preserve"> </w:t>
      </w:r>
      <w:r>
        <w:t xml:space="preserve">Otherwise, they engage in the pathology of unconditional-ity Nietzsche (rightly so) detested.</w:t>
      </w:r>
      <w:r>
        <w:t xml:space="preserve">”</w:t>
      </w:r>
      <w:r>
        <w:t xml:space="preserve"> </w:t>
      </w:r>
      <w:r>
        <w:t xml:space="preserve">(p. 513).</w:t>
      </w:r>
    </w:p>
    <w:p>
      <w:pPr>
        <w:pStyle w:val="BodyText"/>
      </w:pP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p>
      <w:pPr>
        <w:pStyle w:val="BodyText"/>
      </w:pPr>
      <w:r>
        <w:t xml:space="preserve">Studies of racism in contemporary sociology offer a host of frameworks to describe the potential</w:t>
      </w:r>
      <w:r>
        <w:t xml:space="preserve"> </w:t>
      </w:r>
      <w:r>
        <w:t xml:space="preserve"> </w:t>
      </w:r>
      <w:r>
        <w:t xml:space="preserve">of racism in the sociology of race and ethnicity.</w:t>
      </w:r>
      <w:r>
        <w:t xml:space="preserve"> </w:t>
      </w:r>
      <w:r>
        <w:t xml:space="preserve">As research on racism in science, technology, engineering, and mathematics (STEM) continues to gain traction, the dynamic developments and interdisciplinary perspectives leveraged by scholars will require the use of dynamic frameworks that incorporate diverse voices.</w:t>
      </w:r>
      <w:r>
        <w:t xml:space="preserve"> </w:t>
      </w:r>
      <w:r>
        <w:t xml:space="preserve">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w:t>
      </w:r>
      <w:r>
        <w:t xml:space="preserve"> </w:t>
      </w:r>
      <w:r>
        <w:t xml:space="preserve">However, the diverse topics across what is conceived as `STEM’, while useful for framing a set of highly related disciplines, fails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bookmarkEnd w:id="45"/>
    <w:bookmarkEnd w:id="46"/>
    <w:bookmarkStart w:id="47" w:name="discussion-and-conclusion"/>
    <w:p>
      <w:pPr>
        <w:pStyle w:val="Heading1"/>
      </w:pPr>
      <w:r>
        <w:t xml:space="preserve">Discussion and Conclusion</w:t>
      </w:r>
    </w:p>
    <w:p>
      <w:pPr>
        <w:pStyle w:val="FirstParagraph"/>
      </w:pPr>
      <w:r>
        <w:t xml:space="preserve">For the purposes of this paper, we viewed notions as a web of concepts that relate to distinct and overlapping sets of ideas or themes.</w:t>
      </w:r>
      <w:r>
        <w:t xml:space="preserve"> </w:t>
      </w:r>
      <w:r>
        <w:t xml:space="preserve">Notions around a broad topic, like racism, generate a web of concepts and terms.</w:t>
      </w:r>
      <w:r>
        <w:t xml:space="preserve"> </w:t>
      </w:r>
      <w:r>
        <w:t xml:space="preserve">This web produces an interconnected and complex structure of words which imply that notions are not isolated ideas but are interrelated and interdependent.</w:t>
      </w:r>
      <w:r>
        <w:t xml:space="preserve"> </w:t>
      </w:r>
      <w:r>
        <w:t xml:space="preserve">A thematic network map, as opposed to a word cloud, would be one example.</w:t>
      </w:r>
      <w:r>
        <w:t xml:space="preserve"> </w:t>
      </w:r>
      <w:r>
        <w:t xml:space="preserve">In this paper, we model different approaches to generate latent constructs (or themes) as they relate to various measures of association between the metadata of STEM and STEM education journal articles which focus, in some way, on racism-related matters.</w:t>
      </w:r>
      <w:r>
        <w:t xml:space="preserve"> </w:t>
      </w:r>
      <w:r>
        <w:t xml:space="preserve">We discuss the various selection and inclusion criteria, and present models on different associations.</w:t>
      </w:r>
      <w:r>
        <w:t xml:space="preserve"> </w:t>
      </w:r>
      <w:r>
        <w:t xml:space="preserve">Findings reveal a set of ``steady-state” results across all models which structure the set of core notions of racism.</w:t>
      </w:r>
    </w:p>
    <w:p>
      <w:pPr>
        <w:pStyle w:val="BodyText"/>
      </w:pPr>
      <w:r>
        <w:t xml:space="preserve">Research by</w:t>
      </w:r>
      <w:r>
        <w:t xml:space="preserve"> </w:t>
      </w:r>
      <w:r>
        <w:t xml:space="preserve">Bonilla-Silva (2021)</w:t>
      </w:r>
      <w:r>
        <w:t xml:space="preserve">} (2021) identified the various ways that scholars structure their discussions of racism, a notable difference between, for example, individual attitudes and broader systems.</w:t>
      </w:r>
      <w:r>
        <w:t xml:space="preserve"> </w:t>
      </w:r>
      <w:r>
        <w:t xml:space="preserve">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Bonilla-Silva (2021)</w:t>
      </w:r>
      <w:r>
        <w:t xml:space="preserve">; 2021;</w:t>
      </w:r>
      <w:r>
        <w:t xml:space="preserve"> </w:t>
      </w:r>
      <w:r>
        <w:t xml:space="preserve">Shiao &amp; Woody (2021)</w:t>
      </w:r>
      <w:r>
        <w:t xml:space="preserve">; 2021).</w:t>
      </w:r>
      <w:r>
        <w:t xml:space="preserve"> </w:t>
      </w:r>
      <w:r>
        <w:t xml:space="preserve">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Gil-Doménech et al. (2020)</w:t>
      </w:r>
      <w:r>
        <w:t xml:space="preserve">; 2020).</w:t>
      </w:r>
      <w:r>
        <w:t xml:space="preserve"> </w:t>
      </w:r>
      <w:r>
        <w:t xml:space="preserve">We examine notions of racism as framed in a body of research on `</w:t>
      </w:r>
      <w:r>
        <w:rPr>
          <w:rStyle w:val="VerbatimChar"/>
        </w:rPr>
        <w:t xml:space="preserve">STEM," and in mathematics, science and technology studies to make sense of how racism is framed and contextualized. For instance, @benjamin2016catching} (2016) uses the term</w:t>
      </w:r>
      <w:r>
        <w:t xml:space="preserve">STS’, instead of STEM, to refer to the specific area of science and technology studies (STS) (</w:t>
      </w:r>
      <w:r>
        <w:t xml:space="preserve">York (2018)</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Donovan et al. (2015)</w:t>
      </w:r>
      <w:r>
        <w:t xml:space="preserve">; 2015;</w:t>
      </w:r>
      <w:r>
        <w:t xml:space="preserve"> </w:t>
      </w:r>
      <w:r>
        <w:t xml:space="preserve">Takeuchi et al. (2020)</w:t>
      </w:r>
      <w:r>
        <w:t xml:space="preserve">; 2020).</w:t>
      </w:r>
    </w:p>
    <w:p>
      <w:pPr>
        <w:pStyle w:val="BodyText"/>
      </w:pPr>
      <w:r>
        <w:t xml:space="preserve">Notions, then, are a function of the lexical patterns identified in a set of keywords-in-context.</w:t>
      </w:r>
      <w:r>
        <w:t xml:space="preserve"> </w:t>
      </w:r>
      <w:r>
        <w:t xml:space="preserve">With increases in latent semantic analysis (LSA) and other methods, the development of broad themes in a body of work provides content for further inquiry, and not full results.</w:t>
      </w:r>
      <w:r>
        <w:t xml:space="preserve"> </w:t>
      </w:r>
      <w:r>
        <w:t xml:space="preserve">When themes and primary concepts are situated as the meanings, care must be taken with the broader social and political context of the disciplinary boundaries.</w:t>
      </w:r>
      <w:r>
        <w:t xml:space="preserve"> </w:t>
      </w:r>
      <w:r>
        <w:t xml:space="preserve">For example, Shiao &amp; Woody respond to the development of the journal</w:t>
      </w:r>
      <w:r>
        <w:t xml:space="preserve"> </w:t>
      </w:r>
      <w:r>
        <w:t xml:space="preserve"> </w:t>
      </w:r>
      <w:r>
        <w:t xml:space="preserve">and a call by Bonilla-Silva (1997).</w:t>
      </w:r>
      <w:r>
        <w:t xml:space="preserve"> </w:t>
      </w:r>
      <w:r>
        <w:t xml:space="preserve">In U.S. mathematics education, the social turn (Lerman, 2000), sociopolitical turn (Gutierrez, 2007), and spatial turn (Cite, XXXX) prompted the inclusion of different methods for the analysis of data.</w:t>
      </w:r>
      <w:r>
        <w:t xml:space="preserve"> </w:t>
      </w:r>
      <w:r>
        <w:t xml:space="preserve">We observe similar patterns across other fields of study.</w:t>
      </w:r>
      <w:r>
        <w:t xml:space="preserve"> </w:t>
      </w:r>
      <w:r>
        <w:t xml:space="preserve">As a result, notions provide a sampling of the ideas that exist across samples with the understanding that different disciplines both uptake and examine developments in the disciplinary area largely from disciplinary perspectives.</w:t>
      </w:r>
      <w:r>
        <w:t xml:space="preserve"> </w:t>
      </w:r>
      <w:r>
        <w:t xml:space="preserve">As interdisciplinary research expands, additional models and frameworks will be required.</w:t>
      </w:r>
    </w:p>
    <w:p>
      <w:pPr>
        <w:pStyle w:val="BodyText"/>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7"/>
    <w:bookmarkStart w:id="118" w:name="references"/>
    <w:p>
      <w:pPr>
        <w:pStyle w:val="Heading1"/>
      </w:pPr>
      <w:r>
        <w:t xml:space="preserve">References</w:t>
      </w:r>
    </w:p>
    <w:bookmarkStart w:id="117" w:name="refs"/>
    <w:bookmarkStart w:id="48"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48"/>
    <w:bookmarkStart w:id="49"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49"/>
    <w:bookmarkStart w:id="50"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0"/>
    <w:bookmarkStart w:id="51"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1"/>
    <w:bookmarkStart w:id="52"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2"/>
    <w:bookmarkStart w:id="53"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3"/>
    <w:bookmarkStart w:id="54"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4"/>
    <w:bookmarkStart w:id="55"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5"/>
    <w:bookmarkStart w:id="56"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56"/>
    <w:bookmarkStart w:id="57"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57"/>
    <w:bookmarkStart w:id="58"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58"/>
    <w:bookmarkStart w:id="59"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59"/>
    <w:bookmarkStart w:id="60"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60"/>
    <w:bookmarkStart w:id="61"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61"/>
    <w:bookmarkStart w:id="62"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62"/>
    <w:bookmarkStart w:id="63"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63"/>
    <w:bookmarkStart w:id="64" w:name="ref-dion2018gendered"/>
    <w:p>
      <w:pPr>
        <w:pStyle w:val="Bibliography"/>
      </w:pPr>
      <w:r>
        <w:t xml:space="preserve">Dion, M. L., Sumner, J. L., &amp; Mitchell, S. M. (2018). Gendered citation patterns across political science and social science methodology fields.</w:t>
      </w:r>
      <w:r>
        <w:t xml:space="preserve"> </w:t>
      </w:r>
      <w:r>
        <w:rPr>
          <w:iCs/>
          <w:i/>
        </w:rPr>
        <w:t xml:space="preserve">Political Analysis</w:t>
      </w:r>
      <w:r>
        <w:t xml:space="preserve">,</w:t>
      </w:r>
      <w:r>
        <w:t xml:space="preserve"> </w:t>
      </w:r>
      <w:r>
        <w:rPr>
          <w:iCs/>
          <w:i/>
        </w:rPr>
        <w:t xml:space="preserve">26</w:t>
      </w:r>
      <w:r>
        <w:t xml:space="preserve">(3), 312–327.</w:t>
      </w:r>
    </w:p>
    <w:bookmarkEnd w:id="64"/>
    <w:bookmarkStart w:id="65"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65"/>
    <w:bookmarkStart w:id="66"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66"/>
    <w:bookmarkStart w:id="67"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67"/>
    <w:bookmarkStart w:id="68"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68"/>
    <w:bookmarkStart w:id="69"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69"/>
    <w:bookmarkStart w:id="70"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70"/>
    <w:bookmarkStart w:id="71"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71"/>
    <w:bookmarkStart w:id="72"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72"/>
    <w:bookmarkStart w:id="73"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73"/>
    <w:bookmarkStart w:id="74"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74"/>
    <w:bookmarkStart w:id="75"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75"/>
    <w:bookmarkStart w:id="76"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76"/>
    <w:bookmarkStart w:id="78"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77">
        <w:r>
          <w:rPr>
            <w:rStyle w:val="Hyperlink"/>
          </w:rPr>
          <w:t xml:space="preserve">https://doi.org/10.1007/s42330-018-0020-5</w:t>
        </w:r>
      </w:hyperlink>
    </w:p>
    <w:bookmarkEnd w:id="78"/>
    <w:bookmarkStart w:id="79"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79"/>
    <w:bookmarkStart w:id="81"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80">
        <w:r>
          <w:rPr>
            <w:rStyle w:val="Hyperlink"/>
          </w:rPr>
          <w:t xml:space="preserve">https://doi.org/10.1007/s40753-022-00177-w</w:t>
        </w:r>
      </w:hyperlink>
    </w:p>
    <w:bookmarkEnd w:id="81"/>
    <w:bookmarkStart w:id="83"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82">
        <w:r>
          <w:rPr>
            <w:rStyle w:val="Hyperlink"/>
          </w:rPr>
          <w:t xml:space="preserve">https://doi.org/10.1007/s11858-023-01489-0</w:t>
        </w:r>
      </w:hyperlink>
    </w:p>
    <w:bookmarkEnd w:id="83"/>
    <w:bookmarkStart w:id="84"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84"/>
    <w:bookmarkStart w:id="85"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85"/>
    <w:bookmarkStart w:id="86"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86"/>
    <w:bookmarkStart w:id="87"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87"/>
    <w:bookmarkStart w:id="88"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88"/>
    <w:bookmarkStart w:id="89"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89"/>
    <w:bookmarkStart w:id="90"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90"/>
    <w:bookmarkStart w:id="91"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91"/>
    <w:bookmarkStart w:id="92"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92"/>
    <w:bookmarkStart w:id="93"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93"/>
    <w:bookmarkStart w:id="94"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94"/>
    <w:bookmarkStart w:id="95"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95"/>
    <w:bookmarkStart w:id="96"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96"/>
    <w:bookmarkStart w:id="97"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97"/>
    <w:bookmarkStart w:id="98"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98"/>
    <w:bookmarkStart w:id="99"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99"/>
    <w:bookmarkStart w:id="100"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00"/>
    <w:bookmarkStart w:id="101"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01"/>
    <w:bookmarkStart w:id="102"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102"/>
    <w:bookmarkStart w:id="103" w:name="ref-takeuchi2020transdisciplinarity"/>
    <w:p>
      <w:pPr>
        <w:pStyle w:val="Bibliography"/>
      </w:pPr>
      <w:r>
        <w:t xml:space="preserve">Takeuchi, M. A., Sengupta, P., Shanahan, M.-C., Adams, J. D., &amp; Hachem, M. (2020).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03"/>
    <w:bookmarkStart w:id="104"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04"/>
    <w:bookmarkStart w:id="105"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05"/>
    <w:bookmarkStart w:id="107"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06">
        <w:r>
          <w:rPr>
            <w:rStyle w:val="Hyperlink"/>
          </w:rPr>
          <w:t xml:space="preserve">https://doi.org/10.1073/pnas.1708800115</w:t>
        </w:r>
      </w:hyperlink>
    </w:p>
    <w:bookmarkEnd w:id="107"/>
    <w:bookmarkStart w:id="108"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08"/>
    <w:bookmarkStart w:id="109"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09"/>
    <w:bookmarkStart w:id="110"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10"/>
    <w:bookmarkStart w:id="111"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11"/>
    <w:bookmarkStart w:id="112"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12"/>
    <w:bookmarkStart w:id="114"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13">
        <w:r>
          <w:rPr>
            <w:rStyle w:val="Hyperlink"/>
          </w:rPr>
          <w:t xml:space="preserve">https://doi.org/10.1080/19378629.2018.1447576</w:t>
        </w:r>
      </w:hyperlink>
    </w:p>
    <w:bookmarkEnd w:id="114"/>
    <w:bookmarkStart w:id="115"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15"/>
    <w:bookmarkStart w:id="116"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116"/>
    <w:bookmarkEnd w:id="117"/>
    <w:bookmarkEnd w:id="118"/>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doi.org/10.1007/s11858-023-01489-0" TargetMode="External" /><Relationship Type="http://schemas.openxmlformats.org/officeDocument/2006/relationships/hyperlink" Id="rId80" Target="https://doi.org/10.1007/s40753-022-00177-w" TargetMode="External" /><Relationship Type="http://schemas.openxmlformats.org/officeDocument/2006/relationships/hyperlink" Id="rId77" Target="https://doi.org/10.1007/s42330-018-0020-5" TargetMode="External" /><Relationship Type="http://schemas.openxmlformats.org/officeDocument/2006/relationships/hyperlink" Id="rId106" Target="https://doi.org/10.1073/pnas.1708800115" TargetMode="External" /><Relationship Type="http://schemas.openxmlformats.org/officeDocument/2006/relationships/hyperlink" Id="rId113" Target="https://doi.org/10.1080/19378629.2018.1447576"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s11858-023-01489-0" TargetMode="External" /><Relationship Type="http://schemas.openxmlformats.org/officeDocument/2006/relationships/hyperlink" Id="rId80" Target="https://doi.org/10.1007/s40753-022-00177-w" TargetMode="External" /><Relationship Type="http://schemas.openxmlformats.org/officeDocument/2006/relationships/hyperlink" Id="rId77" Target="https://doi.org/10.1007/s42330-018-0020-5" TargetMode="External" /><Relationship Type="http://schemas.openxmlformats.org/officeDocument/2006/relationships/hyperlink" Id="rId106" Target="https://doi.org/10.1073/pnas.1708800115" TargetMode="External" /><Relationship Type="http://schemas.openxmlformats.org/officeDocument/2006/relationships/hyperlink" Id="rId113" Target="https://doi.org/10.1080/19378629.2018.1447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2024-08-12T13:54:18Z</dcterms:created>
  <dcterms:modified xsi:type="dcterms:W3CDTF">2024-08-12T13:54:18Z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