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468E0" w14:textId="6146762F" w:rsidR="002B10D6" w:rsidRDefault="002B10D6" w:rsidP="002B10D6">
      <w:pPr>
        <w:jc w:val="center"/>
      </w:pPr>
      <w:r>
        <w:t xml:space="preserve">LXD treinando com </w:t>
      </w:r>
      <w:proofErr w:type="spellStart"/>
      <w:r>
        <w:t>Zotero</w:t>
      </w:r>
      <w:proofErr w:type="spellEnd"/>
    </w:p>
    <w:p w14:paraId="2BFD99FA" w14:textId="42F55520" w:rsidR="004503C8" w:rsidRPr="00263F15" w:rsidRDefault="004503C8">
      <w:r>
        <w:t xml:space="preserve">O conceito de Learning Experience Design está diretamente relacionado ao protagonismo estudantil </w:t>
      </w:r>
      <w:r>
        <w:fldChar w:fldCharType="begin"/>
      </w:r>
      <w:r>
        <w:instrText xml:space="preserve"> ADDIN ZOTERO_ITEM CSL_CITATION {"citationID":"nT4HFaGV","properties":{"formattedCitation":"(Tawfik et al., 2021)","plainCitation":"(Tawfik et al., 2021)","noteIndex":0},"citationItems":[{"id":5,"uris":["http://zotero.org/users/local/K461hMEl/items/V8QHG7GD"],"itemData":{"id":5,"type":"article-journal","abstract":"Various theories and models have implicitly discussed the role of interaction when using learning technologies. Indeed, interaction is described as being important as it relates to technology adoption, cognitive load, and usability. While each of these perspectives describe elements of interaction, they fail to comprehensively detail how educators should design for both usability and learning with an interface. To address this gap, this work-in-progress study seeks to describe the broader interaction when using learning technology, which we define as learning experience design. Using grounded theory and related eye-tracking data, we asked participants to engage in a cognitive think-aloud as they utilized an adaptive tutoring system. When triangulated, the researchers identified the following broad constructs: interaction with the learning environment and interaction with the learning space. The former includes the following codes: customization, expectation of content placement, functionality of component parts, interface terms aligned with existing mental models, and navigation. Alternatively, the interaction with the learning space included the following: engagement with the modality of content, dynamic interaction, perceived value of technology feature to support learning, and scaffolding. Implications for both theory and practice are discussed.","container-title":"Technology, Knowledge and Learning","DOI":"10.1007/s10758-020-09482-2","ISSN":"2211-1670","issue":"1","language":"En","license":"2021 Springer Nature B.V.","note":"publisher: Springer","page":"309-334","source":"link.springer.com","title":"Toward a Definition of Learning Experience Design","volume":"27","author":[{"family":"Tawfik","given":"Andrew A."},{"family":"Gatewood","given":"Jessica"},{"family":"Gish-Lieberman","given":"Jaclyn J."},{"family":"Hampton","given":"Andrew J."}],"issued":{"date-parts":[["2021",1,2]]}}}],"schema":"https://github.com/citation-style-language/schema/raw/master/csl-citation.json"} </w:instrText>
      </w:r>
      <w:r>
        <w:fldChar w:fldCharType="separate"/>
      </w:r>
      <w:r w:rsidRPr="004503C8">
        <w:rPr>
          <w:rFonts w:ascii="Aptos" w:hAnsi="Aptos"/>
        </w:rPr>
        <w:t>(Tawfik et al., 2021)</w:t>
      </w:r>
      <w:r>
        <w:fldChar w:fldCharType="end"/>
      </w:r>
      <w:r>
        <w:t xml:space="preserve">. Esse mesmo ponto de vista é endossado por </w:t>
      </w:r>
      <w:r>
        <w:fldChar w:fldCharType="begin"/>
      </w:r>
      <w:r>
        <w:instrText xml:space="preserve"> ADDIN ZOTERO_ITEM CSL_CITATION {"citationID":"YyEtAXo1","properties":{"formattedCitation":"(Floor, 2023; GRAVEMEIJER, s. d.)","plainCitation":"(Floor, 2023; GRAVEMEIJER, s. d.)","noteIndex":0},"citationItems":[{"id":7,"uris":["http://zotero.org/users/local/K461hMEl/items/5QSD6CNK"],"itemData":{"id":7,"type":"book","abstract":"Design meaningful experiences through Learning Experience Design We've all had memorable experiences that taught us valuable lessons and leave a lasting impression. What if you could design such experiences for the learners at your school, company, or a client? You can—with the breakthrough perspective, methodologies, skills, and tools of Learning Experience Design (LXD). Whether your background is in design or learning, Niels Floor helps you take responsibility for the entire learning experience: all that happens, what each learner does, how it makes them feel, and how the outcome affects them. Floor illuminates nine indispensable LXD rules and walks through all six steps of the iterative LXD process: question, research, design, develop, test, and launch. You'll explore his powerful Learning Experience Canvas for designing outstanding experiences; and successfully integrate complementary tools such as Personas, Empathy Maps, and Experience Mapping. Packed with inspiring examples and enlightening exercises, this book provides all you need to confidently practice LXD yourself and transform more lives through learning. You'll learn how to  Discover new possibilities and creative solutions for learning. Empathize with the learner and their challenges through design research. Craft unforgettable experiences that deliver lasting, meaningful positive impacts.","ISBN":"978-0-13-795082-9","language":"en","note":"Google-Books-ID: FtnPEAAAQBAJ","number-of-pages":"286","publisher":"New Riders","source":"Google Books","t</w:instrText>
      </w:r>
      <w:r w:rsidRPr="004503C8">
        <w:instrText xml:space="preserve">itle":"This is Learning Experience Design: What it is, how it works, and why it matters.","title-short":"This is Learning Experience Design","author":[{"family":"Floor","given":"Niels"}],"issued":{"date-parts":[["2023",2,6]]}}},{"id":6,"uris":["http://zotero.org/users/local/K461hMEl/items/3FQRN7AL"],"itemData":{"id":6,"type":"chapter","abstract":"Nesta contribuição, pretendemos detalhar uma abordagem de pesquisa em design que foi utilizada e aprimorada em uma série de projetos de pesquisa em design nos quais os autores colaboraram ao longo de um período de 10 anos. Para situar nossa contribuição neste livro, podemos categorizar nossa abordagem como pertencente à categoria mais ampla de pesquisa em design que visa criar ecologias de aprendizagem inovadoras para desenvolver teorias de instrução locais, por um lado, e estudar as formas de aprendizagem que essas ecologias de aprendizagem pretendem apoiar, por outro.&lt;sup&gt;1&lt;/sup&gt; Os projetos de pesquisa nos quais nos concentramos envolvem uma equipe de pesquisa que assume a responsabilidade pela aprendizagem de um grupo de alunos durante um determinado período. Todos os projetos dizem respeito ao domínio do ensino da matemática (incluindo o ensino de estatística).","container-title":"Pesquisa em Design Educacional","title":"Pesquisa de design sob a perspectiva do design de aprendizagem","author":[{"family":"GRAVEMEIJER","given":"KOENO"}]}}],"schema":"https://github.com/citation-style-language/schema/raw/master/csl-citation.json"} </w:instrText>
      </w:r>
      <w:r>
        <w:fldChar w:fldCharType="separate"/>
      </w:r>
      <w:r w:rsidRPr="004503C8">
        <w:rPr>
          <w:rFonts w:ascii="Aptos" w:hAnsi="Aptos"/>
        </w:rPr>
        <w:t>(Floor, 2023; GRAVEMEIJER, s. d.)</w:t>
      </w:r>
      <w:r>
        <w:fldChar w:fldCharType="end"/>
      </w:r>
      <w:r>
        <w:t xml:space="preserve"> </w:t>
      </w:r>
      <w:r w:rsidRPr="00263F15">
        <w:t xml:space="preserve">que discorrem sobre a mesma questão. </w:t>
      </w:r>
      <w:r w:rsidR="002B10D6" w:rsidRPr="00263F15">
        <w:t xml:space="preserve">Porém, </w:t>
      </w:r>
      <w:r w:rsidR="002B10D6">
        <w:fldChar w:fldCharType="begin"/>
      </w:r>
      <w:r w:rsidR="002B10D6" w:rsidRPr="00263F15">
        <w:instrText xml:space="preserve"> ADDIN ZOTERO_ITEM CSL_CITATION {"citationID":"O9iyYMTy","properties":{"formattedCitation":"(Tawfik et al., 2021)","plainCitation":"(Tawfik et al., 2021)","noteIndex":0},"citationItems":[{"id":5,"uris":["http://zotero.org/users/local/K461hMEl/items/V8QHG7GD"],"itemData":{"id":5,"type":"article-journal","abstract":"Various theories and models have implicitly discussed the role of interaction when using learning technologies. Indeed, interaction is described as being important as it relates to technology adoption, cognitive load, and usability. While each of these perspectives describe elements of interaction, they fail to comprehensively detail how educators should design for both usability and learning with an interface. To address this gap, this work-in-progress study seeks to describe the broader interaction when</w:instrText>
      </w:r>
      <w:r w:rsidR="002B10D6" w:rsidRPr="002B10D6">
        <w:instrText xml:space="preserve"> using learning technology, which we define as learning experience design. Using grounded theory and related eye-tracking data, we asked participants to engage in a cognitive think-aloud as they utilized an adaptive tutoring system. When triangulated, the researchers identified the following broad constructs: interaction with the learning environment and interaction with the learning space. The former includes the following codes: customization, expectation of content placement, functionality of component parts, interface terms aligned with existing mental models, and navigation. Alternatively, the interaction with the learning space included the following: engagement with the modality of content, dynamic interaction, perceived value of technology feature to support learning, and scaffolding. Implications for both theory and practice are discussed.","container-title":"Technology, Knowledge and Learning","DOI":"10.1007/s10758-020-09482-2","ISSN":"2211-1670","issue":"1","language":"En","license":"2021 Springer Nature B.V.","note":"publisher: Springer","page":"309-334","source":"link.springer.com","title":"Toward a Definition of Learning Experience Design","volume":"27","author":[{"family":"Tawfik","given":"Andrew A."},{"family":"Gatewood","given":"Jessica"},{"family":"Gish-Lieberman","given":"Jaclyn J."},{"family":"Hampton","given":"Andrew J."}],"issued":{"date-parts":[["2021",1,2]]}}}],"schema":"https://github.com/citation-style-language/schema/raw/master/csl-citation.json"} </w:instrText>
      </w:r>
      <w:r w:rsidR="002B10D6">
        <w:fldChar w:fldCharType="separate"/>
      </w:r>
      <w:r w:rsidR="002B10D6" w:rsidRPr="002B10D6">
        <w:rPr>
          <w:rFonts w:ascii="Aptos" w:hAnsi="Aptos"/>
        </w:rPr>
        <w:t>(</w:t>
      </w:r>
      <w:proofErr w:type="spellStart"/>
      <w:r w:rsidR="002B10D6" w:rsidRPr="002B10D6">
        <w:rPr>
          <w:rFonts w:ascii="Aptos" w:hAnsi="Aptos"/>
        </w:rPr>
        <w:t>Tawfik</w:t>
      </w:r>
      <w:proofErr w:type="spellEnd"/>
      <w:r w:rsidR="002B10D6" w:rsidRPr="002B10D6">
        <w:rPr>
          <w:rFonts w:ascii="Aptos" w:hAnsi="Aptos"/>
        </w:rPr>
        <w:t xml:space="preserve"> et al., 2021)</w:t>
      </w:r>
      <w:r w:rsidR="002B10D6">
        <w:fldChar w:fldCharType="end"/>
      </w:r>
      <w:r w:rsidR="002B10D6" w:rsidRPr="002B10D6">
        <w:t xml:space="preserve"> apresenta outro ponto de vista. Para </w:t>
      </w:r>
      <w:r w:rsidR="002B10D6">
        <w:t xml:space="preserve">Collins parara </w:t>
      </w:r>
      <w:proofErr w:type="spellStart"/>
      <w:r w:rsidR="002B10D6">
        <w:t>parara</w:t>
      </w:r>
      <w:proofErr w:type="spellEnd"/>
      <w:r w:rsidR="002B10D6">
        <w:t xml:space="preserve"> </w:t>
      </w:r>
      <w:proofErr w:type="spellStart"/>
      <w:r w:rsidR="002B10D6">
        <w:t>parara</w:t>
      </w:r>
      <w:proofErr w:type="spellEnd"/>
      <w:r w:rsidR="002B10D6">
        <w:t xml:space="preserve"> </w:t>
      </w:r>
      <w:r w:rsidR="002B10D6">
        <w:fldChar w:fldCharType="begin"/>
      </w:r>
      <w:r w:rsidR="002B10D6">
        <w:instrText xml:space="preserve"> ADDIN ZOTERO_ITEM CSL_CITATION {"citationID":"Cne50JI3","properties":{"formattedCitation":"(Collins, 2007)","plainCitation":"(Collins, 2007)","noteIndex":0},"citationItems":[{"id":10,"uris":["http://zotero.org/users/local/K461hMEl/items/3T4JLVVG"],"itemData":{"id":10,"type":"article-journal","abstract":"ResumoA criação de experiências de aprendizagem significativas segue etapas básicas de design instrucional relacionadas a fatores situacionais, metas e objetivos, métodos de feedback e avaliação, atividades de ensino e aprendizagem, alinhamento dos elementos precedentes e avaliação do curso. As metas devem refletir o que os alunos aprenderão ao final do curso e o que ainda estará presente em suas memórias anos depois. Os objetivos devem focar no desempenho do aluno, não no desempenho do professor, e no comportamento, não no conteúdo; deve haver apenas um resultado de aprendizagem por objetivo. Os alunos aprendem mais e retêm o conhecimento por mais tempo se o adquirirem de forma ativa, em vez de passiva. Os fatores situacionais, as metas e objetivos, o feedback e a avaliação, e as atividades de ensino e aprendizagem devem se refletir e se apoiar mutuamente. A avaliação do curso fecha o ciclo educacional de design, implementação, avaliação e modificação.© RSNA, 2007","container-title":"RadioGraphics","DOI":"10.1148/rg.275065208","ISSN":"0271-5333","issue":"5","note":"publisher: Radiological Society of North America","page":"1511-1517","source":"pubs.rsna.org (Atypon)","title":"Designing Learning Experiences","volume":"27","author":[{"family":"Collins","given":"Jannette"}],"issued":{"date-parts":[["2007",9]]}}}],"schema":"https://github.com/citation-style-language/schema/raw/master/csl-citation.json"} </w:instrText>
      </w:r>
      <w:r w:rsidR="002B10D6">
        <w:fldChar w:fldCharType="separate"/>
      </w:r>
      <w:r w:rsidR="002B10D6" w:rsidRPr="002B10D6">
        <w:rPr>
          <w:rFonts w:ascii="Aptos" w:hAnsi="Aptos"/>
        </w:rPr>
        <w:t>(Collins, 2007)</w:t>
      </w:r>
      <w:r w:rsidR="002B10D6">
        <w:fldChar w:fldCharType="end"/>
      </w:r>
      <w:r w:rsidR="002B10D6">
        <w:t>. Por fim, deve-se considerar o posicionamento de Schmidt e Huang que declaram ISSO.</w:t>
      </w:r>
      <w:r w:rsidR="002B10D6">
        <w:fldChar w:fldCharType="begin"/>
      </w:r>
      <w:r w:rsidR="002B10D6">
        <w:instrText xml:space="preserve"> ADDIN ZOTERO_ITEM CSL_CITATION {"citationID":"D327SHak","properties":{"formattedCitation":"(Schmidt &amp; Huang, 2021)","plainCitation":"(Schmidt &amp; Huang, 2021)","noteIndex":0},"citationItems":[{"id":9,"uris":["http://zotero.org/users/local/K461hMEl/items/K3Y89HHX"],"itemData":{"id":9,"type":"article-journal","abstract":"Increasing interest in user experience design (UXD) in the field of learning design and technology (LDT) signals a growing recognition of the importance of the individual experience of using learning technologies to learning—the learner experience (LX). However, a need exists to better define and conceptualize the phenomenon of learning experience design (LXD). Imprecise, interchangeable, and reductive usage of terms and concepts related to LXD frustrates efforts to situate and connect the established traditions of our field with complimentary methods and processes external to LDT (e.g., UXD, human-computer interaction). To approach this need, we performed qualitative content analysis on a corpus of 15 chapters from a recently published edited volume focused specifically on LXD in the field of LDT. Our research questions focused on identifying key terms and concepts, exploring how chapter authors characterized LXD, and examining the perspectives that informed aut</w:instrText>
      </w:r>
      <w:r w:rsidR="002B10D6" w:rsidRPr="00263F15">
        <w:rPr>
          <w:lang w:val="en-US"/>
        </w:rPr>
        <w:instrText>hors’ conceptions of LXD. We approached these questions using a rigorous, multi-phase inquiry process in which we conduc</w:instrText>
      </w:r>
      <w:r w:rsidR="002B10D6" w:rsidRPr="002B10D6">
        <w:rPr>
          <w:lang w:val="en-US"/>
        </w:rPr>
        <w:instrText xml:space="preserve">ted systematic, iterative open-coding. These coding efforts led to the emergence of a rich tapestry of terminology, methods, and concepts associated with LXD. Importantly, while book chapter authors drew from outside the field of LDT, the manner in which they intentionally located their work within established traditions of this field was particularly revealing. Grounded in the voices of these researchers and practitioners, we assert that LXD is a human-centric, theoretically-grounded, and socio-culturally sensitive approach to learning design, intended to propel learners towards identified learning goals, and informed by UXD methods. On the basis of this operational definition, directions for future research are proposed.","container-title":"TechTrends","DOI":"10.1007/s11528-021-00656-y","ISSN":"1559-7075","issue":"2","language":"En","license":"2021 Association for Educational Communications &amp; Technology","note":"publisher: Springer","page":"141-158","source":"link.springer.com","title":"Defining Learning Experience Design: Voices from the Field of Learning Design &amp; Technology","title-short":"Defining Learning Experience Design","volume":"66","author":[{"family":"Schmidt","given":"Matthew"},{"family":"Huang","given":"Rui"}],"issued":{"date-parts":[["2021",8,27]]}}}],"schema":"https://github.com/citation-style-language/schema/raw/master/csl-citation.json"} </w:instrText>
      </w:r>
      <w:r w:rsidR="002B10D6">
        <w:fldChar w:fldCharType="separate"/>
      </w:r>
      <w:r w:rsidR="002B10D6" w:rsidRPr="002B10D6">
        <w:rPr>
          <w:rFonts w:ascii="Aptos" w:hAnsi="Aptos"/>
          <w:lang w:val="en-US"/>
        </w:rPr>
        <w:t>(Schmidt &amp; Huang, 2021)</w:t>
      </w:r>
      <w:r w:rsidR="002B10D6">
        <w:fldChar w:fldCharType="end"/>
      </w:r>
      <w:r w:rsidR="00263F15" w:rsidRPr="00263F15">
        <w:rPr>
          <w:lang w:val="en-US"/>
        </w:rPr>
        <w:t xml:space="preserve">. </w:t>
      </w:r>
      <w:r w:rsidR="00263F15" w:rsidRPr="00263F15">
        <w:t>Por fim, o LXD congrega tecnologias e conhecimentos pedagógicos c</w:t>
      </w:r>
      <w:r w:rsidR="00263F15">
        <w:t>omo facilitados dos conhecimentos técnicos da área</w:t>
      </w:r>
      <w:r w:rsidR="00263F15">
        <w:fldChar w:fldCharType="begin"/>
      </w:r>
      <w:r w:rsidR="00263F15">
        <w:instrText xml:space="preserve"> ADDIN ZOTERO_ITEM CSL_CITATION {"citationID":"2N6T637X","properties":{"formattedCitation":"(Figueredo &amp; Rafael, s. d.)","plainCitation":"(Figueredo &amp; Rafael, s. d.)","noteIndex":0},"citationItems":[{"id":11,"uris":["http://zotero.org/users/local/K461hMEl/items/MJFD43F7"],"itemData":{"id":11,"type":"article-journal","abstract":"Este texto describe los resultados obtenidos en una experiencia de formación de docentes, que...","DOI":"https://doi.org/10.1590/S0101-73302013000200012","language":"pt-BR","source":"SciELO","title":"Tecnologías emergentes en la educación: una experiencia de formación de docentes que fomenta el diseño de ambientes de aprendizaje","title-short":"Tecnologías emergentes en la educación","URL":"https://www.scielo.br/j/es/a/rjMywghgtqwWRkTKTd3s53f/?lang=es","author":[{"family":"Figueredo","given":"Boude"},{"family":"Rafael","given":"Oscar"}],"accessed":{"date-parts":[["2025",12,23]]}}}],"schema":"https://github.com/citation-style-language/schema/raw/master/csl-citation.json"} </w:instrText>
      </w:r>
      <w:r w:rsidR="00263F15">
        <w:fldChar w:fldCharType="separate"/>
      </w:r>
      <w:r w:rsidR="00263F15" w:rsidRPr="00263F15">
        <w:rPr>
          <w:rFonts w:ascii="Aptos" w:hAnsi="Aptos"/>
        </w:rPr>
        <w:t>(Figueredo</w:t>
      </w:r>
      <w:r w:rsidR="00263F15">
        <w:rPr>
          <w:rFonts w:ascii="Aptos" w:hAnsi="Aptos"/>
        </w:rPr>
        <w:t>, 2013</w:t>
      </w:r>
      <w:r w:rsidR="00263F15" w:rsidRPr="00263F15">
        <w:rPr>
          <w:rFonts w:ascii="Aptos" w:hAnsi="Aptos"/>
        </w:rPr>
        <w:t>)</w:t>
      </w:r>
      <w:r w:rsidR="00263F15">
        <w:fldChar w:fldCharType="end"/>
      </w:r>
      <w:r w:rsidR="00263F15">
        <w:t>.</w:t>
      </w:r>
    </w:p>
    <w:p w14:paraId="7FB7A2C6" w14:textId="77777777" w:rsidR="004503C8" w:rsidRPr="00263F15" w:rsidRDefault="004503C8"/>
    <w:p w14:paraId="08470811" w14:textId="01BEC351" w:rsidR="004503C8" w:rsidRPr="002B10D6" w:rsidRDefault="004503C8">
      <w:pPr>
        <w:rPr>
          <w:lang w:val="en-US"/>
        </w:rPr>
      </w:pPr>
      <w:proofErr w:type="spellStart"/>
      <w:r w:rsidRPr="002B10D6">
        <w:rPr>
          <w:lang w:val="en-US"/>
        </w:rPr>
        <w:t>Referências</w:t>
      </w:r>
      <w:proofErr w:type="spellEnd"/>
      <w:r w:rsidRPr="002B10D6">
        <w:rPr>
          <w:lang w:val="en-US"/>
        </w:rPr>
        <w:t xml:space="preserve"> </w:t>
      </w:r>
    </w:p>
    <w:p w14:paraId="7C5DD82F" w14:textId="77777777" w:rsidR="00263F15" w:rsidRPr="00263F15" w:rsidRDefault="004503C8" w:rsidP="00263F15">
      <w:pPr>
        <w:pStyle w:val="Bibliografia"/>
        <w:rPr>
          <w:rFonts w:ascii="Aptos" w:hAnsi="Aptos"/>
          <w:lang w:val="en-US"/>
        </w:rPr>
      </w:pPr>
      <w:r>
        <w:fldChar w:fldCharType="begin"/>
      </w:r>
      <w:r w:rsidRPr="002B10D6">
        <w:rPr>
          <w:lang w:val="en-US"/>
        </w:rPr>
        <w:instrText xml:space="preserve"> ADDIN ZOTERO_BIBL {"uncited":[],"omitted":[],"custom":[]} CSL_BIBLIOGRAPHY </w:instrText>
      </w:r>
      <w:r>
        <w:fldChar w:fldCharType="separate"/>
      </w:r>
      <w:r w:rsidR="00263F15" w:rsidRPr="00263F15">
        <w:rPr>
          <w:rFonts w:ascii="Aptos" w:hAnsi="Aptos"/>
          <w:lang w:val="en-US"/>
        </w:rPr>
        <w:t xml:space="preserve">Collins, J. (2007). Designing Learning Experiences. </w:t>
      </w:r>
      <w:proofErr w:type="spellStart"/>
      <w:r w:rsidR="00263F15" w:rsidRPr="00263F15">
        <w:rPr>
          <w:rFonts w:ascii="Aptos" w:hAnsi="Aptos"/>
          <w:i/>
          <w:iCs/>
          <w:lang w:val="en-US"/>
        </w:rPr>
        <w:t>RadioGraphics</w:t>
      </w:r>
      <w:proofErr w:type="spellEnd"/>
      <w:r w:rsidR="00263F15" w:rsidRPr="00263F15">
        <w:rPr>
          <w:rFonts w:ascii="Aptos" w:hAnsi="Aptos"/>
          <w:lang w:val="en-US"/>
        </w:rPr>
        <w:t xml:space="preserve">, </w:t>
      </w:r>
      <w:r w:rsidR="00263F15" w:rsidRPr="00263F15">
        <w:rPr>
          <w:rFonts w:ascii="Aptos" w:hAnsi="Aptos"/>
          <w:i/>
          <w:iCs/>
          <w:lang w:val="en-US"/>
        </w:rPr>
        <w:t>27</w:t>
      </w:r>
      <w:r w:rsidR="00263F15" w:rsidRPr="00263F15">
        <w:rPr>
          <w:rFonts w:ascii="Aptos" w:hAnsi="Aptos"/>
          <w:lang w:val="en-US"/>
        </w:rPr>
        <w:t>(5), 1511–1517. https://doi.org/10.1148/rg.275065208</w:t>
      </w:r>
    </w:p>
    <w:p w14:paraId="373B7AE3" w14:textId="043AC820" w:rsidR="00263F15" w:rsidRPr="00263F15" w:rsidRDefault="00263F15" w:rsidP="00263F15">
      <w:pPr>
        <w:pStyle w:val="Bibliografia"/>
        <w:rPr>
          <w:rFonts w:ascii="Aptos" w:hAnsi="Aptos"/>
        </w:rPr>
      </w:pPr>
      <w:r w:rsidRPr="00263F15">
        <w:rPr>
          <w:rFonts w:ascii="Aptos" w:hAnsi="Aptos"/>
          <w:lang w:val="en-US"/>
        </w:rPr>
        <w:t>Figueredo, B</w:t>
      </w:r>
      <w:r>
        <w:rPr>
          <w:rFonts w:ascii="Aptos" w:hAnsi="Aptos"/>
          <w:lang w:val="en-US"/>
        </w:rPr>
        <w:t>. O. R</w:t>
      </w:r>
      <w:r w:rsidRPr="00263F15">
        <w:rPr>
          <w:rFonts w:ascii="Aptos" w:hAnsi="Aptos"/>
          <w:lang w:val="en-US"/>
        </w:rPr>
        <w:t>afael</w:t>
      </w:r>
      <w:r>
        <w:rPr>
          <w:rFonts w:ascii="Aptos" w:hAnsi="Aptos"/>
          <w:lang w:val="en-US"/>
        </w:rPr>
        <w:t xml:space="preserve">. </w:t>
      </w:r>
      <w:r w:rsidRPr="00263F15">
        <w:rPr>
          <w:rFonts w:ascii="Aptos" w:hAnsi="Aptos"/>
          <w:lang w:val="en-US"/>
        </w:rPr>
        <w:t>(</w:t>
      </w:r>
      <w:r>
        <w:rPr>
          <w:rFonts w:ascii="Aptos" w:hAnsi="Aptos"/>
          <w:lang w:val="en-US"/>
        </w:rPr>
        <w:t>2013</w:t>
      </w:r>
      <w:r w:rsidRPr="00263F15">
        <w:rPr>
          <w:rFonts w:ascii="Aptos" w:hAnsi="Aptos"/>
          <w:lang w:val="en-US"/>
        </w:rPr>
        <w:t xml:space="preserve">). </w:t>
      </w:r>
      <w:proofErr w:type="spellStart"/>
      <w:r w:rsidRPr="00263F15">
        <w:rPr>
          <w:rFonts w:ascii="Aptos" w:hAnsi="Aptos"/>
          <w:i/>
          <w:iCs/>
        </w:rPr>
        <w:t>Tecnologías</w:t>
      </w:r>
      <w:proofErr w:type="spellEnd"/>
      <w:r w:rsidRPr="00263F15">
        <w:rPr>
          <w:rFonts w:ascii="Aptos" w:hAnsi="Aptos"/>
          <w:i/>
          <w:iCs/>
        </w:rPr>
        <w:t xml:space="preserve"> emergentes </w:t>
      </w:r>
      <w:proofErr w:type="spellStart"/>
      <w:r w:rsidRPr="00263F15">
        <w:rPr>
          <w:rFonts w:ascii="Aptos" w:hAnsi="Aptos"/>
          <w:i/>
          <w:iCs/>
        </w:rPr>
        <w:t>en</w:t>
      </w:r>
      <w:proofErr w:type="spellEnd"/>
      <w:r w:rsidRPr="00263F15">
        <w:rPr>
          <w:rFonts w:ascii="Aptos" w:hAnsi="Aptos"/>
          <w:i/>
          <w:iCs/>
        </w:rPr>
        <w:t xml:space="preserve"> </w:t>
      </w:r>
      <w:proofErr w:type="spellStart"/>
      <w:r w:rsidRPr="00263F15">
        <w:rPr>
          <w:rFonts w:ascii="Aptos" w:hAnsi="Aptos"/>
          <w:i/>
          <w:iCs/>
        </w:rPr>
        <w:t>la</w:t>
      </w:r>
      <w:proofErr w:type="spellEnd"/>
      <w:r w:rsidRPr="00263F15">
        <w:rPr>
          <w:rFonts w:ascii="Aptos" w:hAnsi="Aptos"/>
          <w:i/>
          <w:iCs/>
        </w:rPr>
        <w:t xml:space="preserve"> </w:t>
      </w:r>
      <w:proofErr w:type="spellStart"/>
      <w:r w:rsidRPr="00263F15">
        <w:rPr>
          <w:rFonts w:ascii="Aptos" w:hAnsi="Aptos"/>
          <w:i/>
          <w:iCs/>
        </w:rPr>
        <w:t>educación</w:t>
      </w:r>
      <w:proofErr w:type="spellEnd"/>
      <w:r w:rsidRPr="00263F15">
        <w:rPr>
          <w:rFonts w:ascii="Aptos" w:hAnsi="Aptos"/>
          <w:i/>
          <w:iCs/>
        </w:rPr>
        <w:t xml:space="preserve">: Una experiencia de </w:t>
      </w:r>
      <w:proofErr w:type="spellStart"/>
      <w:r w:rsidRPr="00263F15">
        <w:rPr>
          <w:rFonts w:ascii="Aptos" w:hAnsi="Aptos"/>
          <w:i/>
          <w:iCs/>
        </w:rPr>
        <w:t>formación</w:t>
      </w:r>
      <w:proofErr w:type="spellEnd"/>
      <w:r w:rsidRPr="00263F15">
        <w:rPr>
          <w:rFonts w:ascii="Aptos" w:hAnsi="Aptos"/>
          <w:i/>
          <w:iCs/>
        </w:rPr>
        <w:t xml:space="preserve"> de docentes que fomenta </w:t>
      </w:r>
      <w:proofErr w:type="spellStart"/>
      <w:r w:rsidRPr="00263F15">
        <w:rPr>
          <w:rFonts w:ascii="Aptos" w:hAnsi="Aptos"/>
          <w:i/>
          <w:iCs/>
        </w:rPr>
        <w:t>el</w:t>
      </w:r>
      <w:proofErr w:type="spellEnd"/>
      <w:r w:rsidRPr="00263F15">
        <w:rPr>
          <w:rFonts w:ascii="Aptos" w:hAnsi="Aptos"/>
          <w:i/>
          <w:iCs/>
        </w:rPr>
        <w:t xml:space="preserve"> </w:t>
      </w:r>
      <w:proofErr w:type="spellStart"/>
      <w:r w:rsidRPr="00263F15">
        <w:rPr>
          <w:rFonts w:ascii="Aptos" w:hAnsi="Aptos"/>
          <w:i/>
          <w:iCs/>
        </w:rPr>
        <w:t>diseño</w:t>
      </w:r>
      <w:proofErr w:type="spellEnd"/>
      <w:r w:rsidRPr="00263F15">
        <w:rPr>
          <w:rFonts w:ascii="Aptos" w:hAnsi="Aptos"/>
          <w:i/>
          <w:iCs/>
        </w:rPr>
        <w:t xml:space="preserve"> de ambientes de </w:t>
      </w:r>
      <w:proofErr w:type="spellStart"/>
      <w:r w:rsidRPr="00263F15">
        <w:rPr>
          <w:rFonts w:ascii="Aptos" w:hAnsi="Aptos"/>
          <w:i/>
          <w:iCs/>
        </w:rPr>
        <w:t>aprendizaje</w:t>
      </w:r>
      <w:proofErr w:type="spellEnd"/>
      <w:r w:rsidRPr="00263F15">
        <w:rPr>
          <w:rFonts w:ascii="Aptos" w:hAnsi="Aptos"/>
        </w:rPr>
        <w:t>. https://doi.org/10.1590/S0101-73302013000200012</w:t>
      </w:r>
    </w:p>
    <w:p w14:paraId="7FE61B05" w14:textId="77777777" w:rsidR="00263F15" w:rsidRPr="00263F15" w:rsidRDefault="00263F15" w:rsidP="00263F15">
      <w:pPr>
        <w:pStyle w:val="Bibliografia"/>
        <w:rPr>
          <w:rFonts w:ascii="Aptos" w:hAnsi="Aptos"/>
        </w:rPr>
      </w:pPr>
      <w:r w:rsidRPr="00263F15">
        <w:rPr>
          <w:rFonts w:ascii="Aptos" w:hAnsi="Aptos"/>
          <w:lang w:val="en-US"/>
        </w:rPr>
        <w:t xml:space="preserve">Floor, N. (2023). </w:t>
      </w:r>
      <w:r w:rsidRPr="00263F15">
        <w:rPr>
          <w:rFonts w:ascii="Aptos" w:hAnsi="Aptos"/>
          <w:i/>
          <w:iCs/>
          <w:lang w:val="en-US"/>
        </w:rPr>
        <w:t>This is Learning Experience Design: What it is, how it works, and why it matters.</w:t>
      </w:r>
      <w:r w:rsidRPr="00263F15">
        <w:rPr>
          <w:rFonts w:ascii="Aptos" w:hAnsi="Aptos"/>
          <w:lang w:val="en-US"/>
        </w:rPr>
        <w:t xml:space="preserve"> </w:t>
      </w:r>
      <w:r w:rsidRPr="00263F15">
        <w:rPr>
          <w:rFonts w:ascii="Aptos" w:hAnsi="Aptos"/>
        </w:rPr>
        <w:t xml:space="preserve">New </w:t>
      </w:r>
      <w:proofErr w:type="spellStart"/>
      <w:r w:rsidRPr="00263F15">
        <w:rPr>
          <w:rFonts w:ascii="Aptos" w:hAnsi="Aptos"/>
        </w:rPr>
        <w:t>Riders</w:t>
      </w:r>
      <w:proofErr w:type="spellEnd"/>
      <w:r w:rsidRPr="00263F15">
        <w:rPr>
          <w:rFonts w:ascii="Aptos" w:hAnsi="Aptos"/>
        </w:rPr>
        <w:t>.</w:t>
      </w:r>
    </w:p>
    <w:p w14:paraId="39A796BD" w14:textId="77777777" w:rsidR="00263F15" w:rsidRPr="00263F15" w:rsidRDefault="00263F15" w:rsidP="00263F15">
      <w:pPr>
        <w:pStyle w:val="Bibliografia"/>
        <w:rPr>
          <w:rFonts w:ascii="Aptos" w:hAnsi="Aptos"/>
          <w:lang w:val="en-US"/>
        </w:rPr>
      </w:pPr>
      <w:r w:rsidRPr="00263F15">
        <w:rPr>
          <w:rFonts w:ascii="Aptos" w:hAnsi="Aptos"/>
        </w:rPr>
        <w:t xml:space="preserve">GRAVEMEIJER, K. (s. d.). Pesquisa de design sob a perspectiva do design de aprendizagem. </w:t>
      </w:r>
      <w:r w:rsidRPr="00263F15">
        <w:rPr>
          <w:rFonts w:ascii="Aptos" w:hAnsi="Aptos"/>
          <w:lang w:val="en-US"/>
        </w:rPr>
        <w:t xml:space="preserve">Em </w:t>
      </w:r>
      <w:r w:rsidRPr="00263F15">
        <w:rPr>
          <w:rFonts w:ascii="Aptos" w:hAnsi="Aptos"/>
          <w:i/>
          <w:iCs/>
          <w:lang w:val="en-US"/>
        </w:rPr>
        <w:t xml:space="preserve">Pesquisa </w:t>
      </w:r>
      <w:proofErr w:type="spellStart"/>
      <w:r w:rsidRPr="00263F15">
        <w:rPr>
          <w:rFonts w:ascii="Aptos" w:hAnsi="Aptos"/>
          <w:i/>
          <w:iCs/>
          <w:lang w:val="en-US"/>
        </w:rPr>
        <w:t>em</w:t>
      </w:r>
      <w:proofErr w:type="spellEnd"/>
      <w:r w:rsidRPr="00263F15">
        <w:rPr>
          <w:rFonts w:ascii="Aptos" w:hAnsi="Aptos"/>
          <w:i/>
          <w:iCs/>
          <w:lang w:val="en-US"/>
        </w:rPr>
        <w:t xml:space="preserve"> Design </w:t>
      </w:r>
      <w:proofErr w:type="spellStart"/>
      <w:r w:rsidRPr="00263F15">
        <w:rPr>
          <w:rFonts w:ascii="Aptos" w:hAnsi="Aptos"/>
          <w:i/>
          <w:iCs/>
          <w:lang w:val="en-US"/>
        </w:rPr>
        <w:t>Educacional</w:t>
      </w:r>
      <w:proofErr w:type="spellEnd"/>
      <w:r w:rsidRPr="00263F15">
        <w:rPr>
          <w:rFonts w:ascii="Aptos" w:hAnsi="Aptos"/>
          <w:lang w:val="en-US"/>
        </w:rPr>
        <w:t>.</w:t>
      </w:r>
    </w:p>
    <w:p w14:paraId="6D4E9751" w14:textId="77777777" w:rsidR="00263F15" w:rsidRPr="00263F15" w:rsidRDefault="00263F15" w:rsidP="00263F15">
      <w:pPr>
        <w:pStyle w:val="Bibliografia"/>
        <w:rPr>
          <w:rFonts w:ascii="Aptos" w:hAnsi="Aptos"/>
          <w:lang w:val="en-US"/>
        </w:rPr>
      </w:pPr>
      <w:r w:rsidRPr="00263F15">
        <w:rPr>
          <w:rFonts w:ascii="Aptos" w:hAnsi="Aptos"/>
          <w:lang w:val="en-US"/>
        </w:rPr>
        <w:t xml:space="preserve">Schmidt, M., &amp; Huang, R. (2021). Defining Learning Experience Design: Voices from the Field of Learning Design &amp; Technology. </w:t>
      </w:r>
      <w:proofErr w:type="spellStart"/>
      <w:r w:rsidRPr="00263F15">
        <w:rPr>
          <w:rFonts w:ascii="Aptos" w:hAnsi="Aptos"/>
          <w:i/>
          <w:iCs/>
          <w:lang w:val="en-US"/>
        </w:rPr>
        <w:t>TechTrends</w:t>
      </w:r>
      <w:proofErr w:type="spellEnd"/>
      <w:r w:rsidRPr="00263F15">
        <w:rPr>
          <w:rFonts w:ascii="Aptos" w:hAnsi="Aptos"/>
          <w:lang w:val="en-US"/>
        </w:rPr>
        <w:t xml:space="preserve">, </w:t>
      </w:r>
      <w:r w:rsidRPr="00263F15">
        <w:rPr>
          <w:rFonts w:ascii="Aptos" w:hAnsi="Aptos"/>
          <w:i/>
          <w:iCs/>
          <w:lang w:val="en-US"/>
        </w:rPr>
        <w:t>66</w:t>
      </w:r>
      <w:r w:rsidRPr="00263F15">
        <w:rPr>
          <w:rFonts w:ascii="Aptos" w:hAnsi="Aptos"/>
          <w:lang w:val="en-US"/>
        </w:rPr>
        <w:t>(2), 141–158. https://doi.org/10.1007/s11528-021-00656-y</w:t>
      </w:r>
    </w:p>
    <w:p w14:paraId="7B0FE347" w14:textId="77777777" w:rsidR="00263F15" w:rsidRPr="00263F15" w:rsidRDefault="00263F15" w:rsidP="00263F15">
      <w:pPr>
        <w:pStyle w:val="Bibliografia"/>
        <w:rPr>
          <w:rFonts w:ascii="Aptos" w:hAnsi="Aptos"/>
          <w:lang w:val="en-US"/>
        </w:rPr>
      </w:pPr>
      <w:r w:rsidRPr="00263F15">
        <w:rPr>
          <w:rFonts w:ascii="Aptos" w:hAnsi="Aptos"/>
          <w:lang w:val="en-US"/>
        </w:rPr>
        <w:t xml:space="preserve">Tawfik, A. A., Gatewood, J., Gish-Lieberman, J. J., &amp; Hampton, A. J. (2021). Toward a Definition of Learning Experience Design. </w:t>
      </w:r>
      <w:r w:rsidRPr="00263F15">
        <w:rPr>
          <w:rFonts w:ascii="Aptos" w:hAnsi="Aptos"/>
          <w:i/>
          <w:iCs/>
          <w:lang w:val="en-US"/>
        </w:rPr>
        <w:t>Technology, Knowledge and Learning</w:t>
      </w:r>
      <w:r w:rsidRPr="00263F15">
        <w:rPr>
          <w:rFonts w:ascii="Aptos" w:hAnsi="Aptos"/>
          <w:lang w:val="en-US"/>
        </w:rPr>
        <w:t xml:space="preserve">, </w:t>
      </w:r>
      <w:r w:rsidRPr="00263F15">
        <w:rPr>
          <w:rFonts w:ascii="Aptos" w:hAnsi="Aptos"/>
          <w:i/>
          <w:iCs/>
          <w:lang w:val="en-US"/>
        </w:rPr>
        <w:t>27</w:t>
      </w:r>
      <w:r w:rsidRPr="00263F15">
        <w:rPr>
          <w:rFonts w:ascii="Aptos" w:hAnsi="Aptos"/>
          <w:lang w:val="en-US"/>
        </w:rPr>
        <w:t>(1), 309–334. https://doi.org/10.1007/s10758-020-09482-2</w:t>
      </w:r>
    </w:p>
    <w:p w14:paraId="52A94042" w14:textId="4FDF5663" w:rsidR="004503C8" w:rsidRPr="002B10D6" w:rsidRDefault="004503C8">
      <w:pPr>
        <w:rPr>
          <w:lang w:val="en-US"/>
        </w:rPr>
      </w:pPr>
      <w:r>
        <w:fldChar w:fldCharType="end"/>
      </w:r>
    </w:p>
    <w:sectPr w:rsidR="004503C8" w:rsidRPr="002B10D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3C8"/>
    <w:rsid w:val="00043734"/>
    <w:rsid w:val="001D0C26"/>
    <w:rsid w:val="00221815"/>
    <w:rsid w:val="00263F15"/>
    <w:rsid w:val="002B10D6"/>
    <w:rsid w:val="004503C8"/>
    <w:rsid w:val="006A5654"/>
    <w:rsid w:val="00A54D4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DC178"/>
  <w15:chartTrackingRefBased/>
  <w15:docId w15:val="{4751DEB4-B767-4BA5-A8AC-447B6FEA2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4503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4503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4503C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4503C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4503C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4503C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503C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503C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503C8"/>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503C8"/>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4503C8"/>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4503C8"/>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4503C8"/>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4503C8"/>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4503C8"/>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503C8"/>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503C8"/>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503C8"/>
    <w:rPr>
      <w:rFonts w:eastAsiaTheme="majorEastAsia" w:cstheme="majorBidi"/>
      <w:color w:val="272727" w:themeColor="text1" w:themeTint="D8"/>
    </w:rPr>
  </w:style>
  <w:style w:type="paragraph" w:styleId="Ttulo">
    <w:name w:val="Title"/>
    <w:basedOn w:val="Normal"/>
    <w:next w:val="Normal"/>
    <w:link w:val="TtuloChar"/>
    <w:uiPriority w:val="10"/>
    <w:qFormat/>
    <w:rsid w:val="004503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503C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503C8"/>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503C8"/>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503C8"/>
    <w:pPr>
      <w:spacing w:before="160"/>
      <w:jc w:val="center"/>
    </w:pPr>
    <w:rPr>
      <w:i/>
      <w:iCs/>
      <w:color w:val="404040" w:themeColor="text1" w:themeTint="BF"/>
    </w:rPr>
  </w:style>
  <w:style w:type="character" w:customStyle="1" w:styleId="CitaoChar">
    <w:name w:val="Citação Char"/>
    <w:basedOn w:val="Fontepargpadro"/>
    <w:link w:val="Citao"/>
    <w:uiPriority w:val="29"/>
    <w:rsid w:val="004503C8"/>
    <w:rPr>
      <w:i/>
      <w:iCs/>
      <w:color w:val="404040" w:themeColor="text1" w:themeTint="BF"/>
    </w:rPr>
  </w:style>
  <w:style w:type="paragraph" w:styleId="PargrafodaLista">
    <w:name w:val="List Paragraph"/>
    <w:basedOn w:val="Normal"/>
    <w:uiPriority w:val="34"/>
    <w:qFormat/>
    <w:rsid w:val="004503C8"/>
    <w:pPr>
      <w:ind w:left="720"/>
      <w:contextualSpacing/>
    </w:pPr>
  </w:style>
  <w:style w:type="character" w:styleId="nfaseIntensa">
    <w:name w:val="Intense Emphasis"/>
    <w:basedOn w:val="Fontepargpadro"/>
    <w:uiPriority w:val="21"/>
    <w:qFormat/>
    <w:rsid w:val="004503C8"/>
    <w:rPr>
      <w:i/>
      <w:iCs/>
      <w:color w:val="0F4761" w:themeColor="accent1" w:themeShade="BF"/>
    </w:rPr>
  </w:style>
  <w:style w:type="paragraph" w:styleId="CitaoIntensa">
    <w:name w:val="Intense Quote"/>
    <w:basedOn w:val="Normal"/>
    <w:next w:val="Normal"/>
    <w:link w:val="CitaoIntensaChar"/>
    <w:uiPriority w:val="30"/>
    <w:qFormat/>
    <w:rsid w:val="004503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4503C8"/>
    <w:rPr>
      <w:i/>
      <w:iCs/>
      <w:color w:val="0F4761" w:themeColor="accent1" w:themeShade="BF"/>
    </w:rPr>
  </w:style>
  <w:style w:type="character" w:styleId="RefernciaIntensa">
    <w:name w:val="Intense Reference"/>
    <w:basedOn w:val="Fontepargpadro"/>
    <w:uiPriority w:val="32"/>
    <w:qFormat/>
    <w:rsid w:val="004503C8"/>
    <w:rPr>
      <w:b/>
      <w:bCs/>
      <w:smallCaps/>
      <w:color w:val="0F4761" w:themeColor="accent1" w:themeShade="BF"/>
      <w:spacing w:val="5"/>
    </w:rPr>
  </w:style>
  <w:style w:type="paragraph" w:styleId="Bibliografia">
    <w:name w:val="Bibliography"/>
    <w:basedOn w:val="Normal"/>
    <w:next w:val="Normal"/>
    <w:uiPriority w:val="37"/>
    <w:unhideWhenUsed/>
    <w:rsid w:val="004503C8"/>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2384</Words>
  <Characters>12876</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Petrúcio Farias Junior</dc:creator>
  <cp:keywords/>
  <dc:description/>
  <cp:lastModifiedBy>José Petrúcio Farias Junior</cp:lastModifiedBy>
  <cp:revision>2</cp:revision>
  <dcterms:created xsi:type="dcterms:W3CDTF">2025-12-23T14:11:00Z</dcterms:created>
  <dcterms:modified xsi:type="dcterms:W3CDTF">2025-12-23T14:43:00Z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id="nSH2QmKX"/&gt;&lt;style id="http://www.zotero.org/styles/apa" locale="pt-BR"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