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FFCC" w14:textId="77777777" w:rsidR="00CB7C46" w:rsidRPr="00CB7C46" w:rsidRDefault="00CB7C46" w:rsidP="00CB7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CB7C46">
        <w:rPr>
          <w:rFonts w:ascii="Times New Roman" w:eastAsia="Times New Roman" w:hAnsi="Times New Roman" w:cs="Times New Roman"/>
          <w:b/>
          <w:bCs/>
          <w:kern w:val="36"/>
          <w:sz w:val="48"/>
          <w:szCs w:val="48"/>
          <w:lang w:eastAsia="pt-BR"/>
        </w:rPr>
        <w:t>Annual enterprise survey: 2019 financial year (provisional)</w:t>
      </w:r>
    </w:p>
    <w:p w14:paraId="49B023DA" w14:textId="77777777" w:rsidR="00CB7C46" w:rsidRPr="00CB7C46" w:rsidRDefault="00CB7C46" w:rsidP="00CB7C46">
      <w:pPr>
        <w:spacing w:before="100" w:beforeAutospacing="1" w:after="0" w:line="240" w:lineRule="auto"/>
        <w:textAlignment w:val="bottom"/>
        <w:rPr>
          <w:rFonts w:ascii="Times New Roman" w:eastAsia="Times New Roman" w:hAnsi="Times New Roman" w:cs="Times New Roman"/>
          <w:color w:val="706F6E"/>
          <w:sz w:val="24"/>
          <w:szCs w:val="24"/>
          <w:lang w:eastAsia="pt-BR"/>
        </w:rPr>
      </w:pPr>
      <w:r w:rsidRPr="00CB7C46">
        <w:rPr>
          <w:rFonts w:ascii="Times New Roman" w:eastAsia="Times New Roman" w:hAnsi="Times New Roman" w:cs="Times New Roman"/>
          <w:color w:val="706F6E"/>
          <w:sz w:val="24"/>
          <w:szCs w:val="24"/>
          <w:lang w:eastAsia="pt-BR"/>
        </w:rPr>
        <w:t>26 June 2020, 10:45am</w:t>
      </w:r>
    </w:p>
    <w:p w14:paraId="783F0008"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The annual enterprise survey (AES) is New Zealand’s most comprehensive source of financial statistics covering around 500,000 businesses. It provides annual information on the financial performance and financial position for industry groups operating in New Zealand.</w:t>
      </w:r>
      <w:bookmarkStart w:id="0" w:name="download-data"/>
      <w:bookmarkEnd w:id="0"/>
    </w:p>
    <w:p w14:paraId="23F12ADE"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Download data</w:t>
      </w:r>
    </w:p>
    <w:p w14:paraId="6C96B9C1" w14:textId="2E452F9E" w:rsidR="00CB7C46" w:rsidRPr="00CB7C46" w:rsidRDefault="00CB7C46" w:rsidP="00CB7C46">
      <w:pPr>
        <w:numPr>
          <w:ilvl w:val="0"/>
          <w:numId w:val="1"/>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6" w:history="1">
        <w:r w:rsidRPr="00CB7C46">
          <w:rPr>
            <w:rFonts w:ascii="Arial" w:eastAsia="Times New Roman" w:hAnsi="Arial" w:cs="Arial"/>
            <w:color w:val="005EA5"/>
            <w:sz w:val="27"/>
            <w:szCs w:val="27"/>
            <w:lang w:eastAsia="pt-BR"/>
          </w:rPr>
          <w:t>Annual enterprise survey: 2019 financial year (provisional) – CSV</w:t>
        </w:r>
      </w:hyperlink>
    </w:p>
    <w:p w14:paraId="6D610EBB"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4.9 MB</w:t>
      </w:r>
    </w:p>
    <w:p w14:paraId="08EBCD89" w14:textId="0108F6AD" w:rsidR="00CB7C46" w:rsidRPr="00CB7C46" w:rsidRDefault="00CB7C46" w:rsidP="00CB7C46">
      <w:pPr>
        <w:numPr>
          <w:ilvl w:val="0"/>
          <w:numId w:val="1"/>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7" w:history="1">
        <w:r w:rsidRPr="00CB7C46">
          <w:rPr>
            <w:rFonts w:ascii="Arial" w:eastAsia="Times New Roman" w:hAnsi="Arial" w:cs="Arial"/>
            <w:color w:val="005EA5"/>
            <w:sz w:val="27"/>
            <w:szCs w:val="27"/>
            <w:lang w:eastAsia="pt-BR"/>
          </w:rPr>
          <w:t>Annual enterprise survey: 2019 financial year (provisional) – size bands CSV</w:t>
        </w:r>
      </w:hyperlink>
    </w:p>
    <w:p w14:paraId="5938C1A8"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1.2 MB</w:t>
      </w:r>
    </w:p>
    <w:p w14:paraId="11A99FC5" w14:textId="77777777" w:rsidR="00CB7C46" w:rsidRPr="00CB7C46" w:rsidRDefault="00CB7C46" w:rsidP="00CB7C46">
      <w:pPr>
        <w:numPr>
          <w:ilvl w:val="0"/>
          <w:numId w:val="1"/>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8" w:history="1">
        <w:r w:rsidRPr="00CB7C46">
          <w:rPr>
            <w:rFonts w:ascii="Arial" w:eastAsia="Times New Roman" w:hAnsi="Arial" w:cs="Arial"/>
            <w:color w:val="005EA5"/>
            <w:sz w:val="27"/>
            <w:szCs w:val="27"/>
            <w:lang w:eastAsia="pt-BR"/>
          </w:rPr>
          <w:t>Annual enterprise survey: 2019 financial year (provisional) size bands</w:t>
        </w:r>
      </w:hyperlink>
    </w:p>
    <w:p w14:paraId="33630D20"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Excel spreadsheet, 77 KB</w:t>
      </w:r>
    </w:p>
    <w:p w14:paraId="79FB662E"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Key facts</w:t>
      </w:r>
    </w:p>
    <w:p w14:paraId="3C8BDF95"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Provisional data for the 2019 financial year:</w:t>
      </w:r>
    </w:p>
    <w:p w14:paraId="5D0D2E1F" w14:textId="77777777" w:rsidR="00CB7C46" w:rsidRPr="00CB7C46" w:rsidRDefault="00CB7C46" w:rsidP="00CB7C46">
      <w:pPr>
        <w:numPr>
          <w:ilvl w:val="0"/>
          <w:numId w:val="2"/>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income for all industries increased $36.7 billion (5.3 percent) to $728.2 billion</w:t>
      </w:r>
    </w:p>
    <w:p w14:paraId="5DAF30AE" w14:textId="77777777" w:rsidR="00CB7C46" w:rsidRPr="00CB7C46" w:rsidRDefault="00CB7C46" w:rsidP="00CB7C46">
      <w:pPr>
        <w:numPr>
          <w:ilvl w:val="0"/>
          <w:numId w:val="2"/>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expenditure for all industries increased $37.2 billion (6.2 percent) to $634.7 billion</w:t>
      </w:r>
    </w:p>
    <w:p w14:paraId="24EB5FC0" w14:textId="77777777" w:rsidR="00CB7C46" w:rsidRPr="00CB7C46" w:rsidRDefault="00CB7C46" w:rsidP="00CB7C46">
      <w:pPr>
        <w:numPr>
          <w:ilvl w:val="0"/>
          <w:numId w:val="2"/>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earned $97.1 billion in surplus before income tax – down $1 billion (1 percent) from 2018</w:t>
      </w:r>
    </w:p>
    <w:p w14:paraId="74C508BC" w14:textId="77777777" w:rsidR="00CB7C46" w:rsidRPr="00CB7C46" w:rsidRDefault="00CB7C46" w:rsidP="00CB7C46">
      <w:pPr>
        <w:numPr>
          <w:ilvl w:val="0"/>
          <w:numId w:val="2"/>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 assets for all industries increased $148 billion (7.2 percent) to $2.2 trillion</w:t>
      </w:r>
    </w:p>
    <w:p w14:paraId="45ED1925" w14:textId="77777777" w:rsidR="00CB7C46" w:rsidRPr="00CB7C46" w:rsidRDefault="00CB7C46" w:rsidP="00CB7C46">
      <w:pPr>
        <w:numPr>
          <w:ilvl w:val="0"/>
          <w:numId w:val="2"/>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made a 4.4 percent return on assets – down from 4.7 percent in 2018.</w:t>
      </w:r>
    </w:p>
    <w:p w14:paraId="33EA7C3B"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All annual enterprise survey series can be influenced by price changes – business output prices rose 3.2 percent and input prices were up 4.0 percent in the March 2019 year (as measured by the </w:t>
      </w:r>
      <w:hyperlink r:id="rId9" w:history="1">
        <w:r w:rsidRPr="00CB7C46">
          <w:rPr>
            <w:rFonts w:ascii="Arial" w:eastAsia="Times New Roman" w:hAnsi="Arial" w:cs="Arial"/>
            <w:color w:val="005EA5"/>
            <w:sz w:val="29"/>
            <w:szCs w:val="29"/>
            <w:lang w:eastAsia="pt-BR"/>
          </w:rPr>
          <w:t>producers price index</w:t>
        </w:r>
      </w:hyperlink>
      <w:r w:rsidRPr="00CB7C46">
        <w:rPr>
          <w:rFonts w:ascii="Arial" w:eastAsia="Times New Roman" w:hAnsi="Arial" w:cs="Arial"/>
          <w:color w:val="0B0C0C"/>
          <w:sz w:val="29"/>
          <w:szCs w:val="29"/>
          <w:lang w:eastAsia="pt-BR"/>
        </w:rPr>
        <w:t>).</w:t>
      </w:r>
    </w:p>
    <w:p w14:paraId="74AE6C74" w14:textId="38961168" w:rsidR="00CB7C46" w:rsidRDefault="00CB7C46" w:rsidP="00CB7C46">
      <w:pPr>
        <w:shd w:val="clear" w:color="auto" w:fill="FFFFFF"/>
        <w:spacing w:after="0" w:line="240" w:lineRule="auto"/>
        <w:rPr>
          <w:rFonts w:ascii="Arial" w:eastAsia="Times New Roman" w:hAnsi="Arial" w:cs="Arial"/>
          <w:caps/>
          <w:color w:val="0B0C0C"/>
          <w:sz w:val="24"/>
          <w:szCs w:val="24"/>
          <w:lang w:eastAsia="pt-BR"/>
        </w:rPr>
      </w:pPr>
      <w:r w:rsidRPr="00CB7C46">
        <w:rPr>
          <w:rFonts w:ascii="Arial" w:eastAsia="Times New Roman" w:hAnsi="Arial" w:cs="Arial"/>
          <w:caps/>
          <w:color w:val="0B0C0C"/>
          <w:sz w:val="24"/>
          <w:szCs w:val="24"/>
          <w:lang w:eastAsia="pt-BR"/>
        </w:rPr>
        <w:lastRenderedPageBreak/>
        <w:drawing>
          <wp:inline distT="0" distB="0" distL="0" distR="0" wp14:anchorId="144BD57B" wp14:editId="438462C8">
            <wp:extent cx="6446520" cy="3074816"/>
            <wp:effectExtent l="152400" t="114300" r="106680" b="144780"/>
            <wp:docPr id="4" name="Imagem 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barras&#10;&#10;Descrição gerada automaticamente"/>
                    <pic:cNvPicPr/>
                  </pic:nvPicPr>
                  <pic:blipFill>
                    <a:blip r:embed="rId10"/>
                    <a:stretch>
                      <a:fillRect/>
                    </a:stretch>
                  </pic:blipFill>
                  <pic:spPr>
                    <a:xfrm>
                      <a:off x="0" y="0"/>
                      <a:ext cx="6460127" cy="30813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6A0D0" w14:textId="14F44A32" w:rsidR="00CB7C46" w:rsidRDefault="00CB7C46" w:rsidP="00CB7C46">
      <w:pPr>
        <w:shd w:val="clear" w:color="auto" w:fill="FFFFFF"/>
        <w:spacing w:after="0" w:line="240" w:lineRule="auto"/>
        <w:rPr>
          <w:rFonts w:ascii="Arial" w:eastAsia="Times New Roman" w:hAnsi="Arial" w:cs="Arial"/>
          <w:caps/>
          <w:color w:val="0B0C0C"/>
          <w:sz w:val="24"/>
          <w:szCs w:val="24"/>
          <w:lang w:eastAsia="pt-BR"/>
        </w:rPr>
      </w:pPr>
    </w:p>
    <w:p w14:paraId="7ACF12BD" w14:textId="7CADA7F6" w:rsidR="00CB7C46" w:rsidRDefault="00CB7C46" w:rsidP="00CB7C46">
      <w:pPr>
        <w:shd w:val="clear" w:color="auto" w:fill="FFFFFF"/>
        <w:spacing w:after="0" w:line="240" w:lineRule="auto"/>
        <w:rPr>
          <w:rFonts w:ascii="Arial" w:eastAsia="Times New Roman" w:hAnsi="Arial" w:cs="Arial"/>
          <w:caps/>
          <w:color w:val="0B0C0C"/>
          <w:sz w:val="24"/>
          <w:szCs w:val="24"/>
          <w:lang w:eastAsia="pt-BR"/>
        </w:rPr>
      </w:pPr>
      <w:r w:rsidRPr="00CB7C46">
        <w:rPr>
          <w:rFonts w:ascii="Arial" w:eastAsia="Times New Roman" w:hAnsi="Arial" w:cs="Arial"/>
          <w:caps/>
          <w:color w:val="0B0C0C"/>
          <w:sz w:val="24"/>
          <w:szCs w:val="24"/>
          <w:lang w:eastAsia="pt-BR"/>
        </w:rPr>
        <w:drawing>
          <wp:inline distT="0" distB="0" distL="0" distR="0" wp14:anchorId="2D117C35" wp14:editId="4CB94F44">
            <wp:extent cx="6447079" cy="4153260"/>
            <wp:effectExtent l="152400" t="114300" r="125730" b="17145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11"/>
                    <a:stretch>
                      <a:fillRect/>
                    </a:stretch>
                  </pic:blipFill>
                  <pic:spPr>
                    <a:xfrm>
                      <a:off x="0" y="0"/>
                      <a:ext cx="6447079" cy="4153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4AFB13" w14:textId="138F1F3F" w:rsidR="00CB7C46" w:rsidRPr="00CB7C46" w:rsidRDefault="00CB7C46" w:rsidP="00CB7C46">
      <w:pPr>
        <w:shd w:val="clear" w:color="auto" w:fill="FFFFFF"/>
        <w:spacing w:after="0"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$Balance sheet summary for all industries ($), 2013–19 financial yearsTotal assetsTotal liabilitiesShareholders' funds or owner's equity20132014201520162017201820190500B1 000B1 500B2 000B2 500BStats NZ</w:t>
      </w:r>
    </w:p>
    <w:p w14:paraId="5E8ED53A"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Revisions</w:t>
      </w:r>
    </w:p>
    <w:p w14:paraId="2896FD4B"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We revised the following series in the two CSV files under ‘Download data’:</w:t>
      </w:r>
    </w:p>
    <w:p w14:paraId="437FFD50" w14:textId="77777777" w:rsidR="00CB7C46" w:rsidRPr="00CB7C46" w:rsidRDefault="00CB7C46" w:rsidP="00CB7C46">
      <w:pPr>
        <w:numPr>
          <w:ilvl w:val="0"/>
          <w:numId w:val="4"/>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lastRenderedPageBreak/>
        <w:t>2015 and 2016 financial years, previously published as final</w:t>
      </w:r>
    </w:p>
    <w:p w14:paraId="2025C274" w14:textId="77777777" w:rsidR="00CB7C46" w:rsidRPr="00CB7C46" w:rsidRDefault="00CB7C46" w:rsidP="00CB7C46">
      <w:pPr>
        <w:numPr>
          <w:ilvl w:val="0"/>
          <w:numId w:val="4"/>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2017 and 2018 financial years, previously published as provisional.</w:t>
      </w:r>
    </w:p>
    <w:p w14:paraId="63A18E31" w14:textId="77777777" w:rsidR="00CB7C46" w:rsidRPr="00CB7C46" w:rsidRDefault="00CB7C46" w:rsidP="00CB7C46">
      <w:pPr>
        <w:shd w:val="clear" w:color="auto" w:fill="FFFFFF"/>
        <w:spacing w:after="100" w:afterAutospacing="1" w:line="240" w:lineRule="auto"/>
        <w:outlineLvl w:val="2"/>
        <w:rPr>
          <w:rFonts w:ascii="Arial" w:eastAsia="Times New Roman" w:hAnsi="Arial" w:cs="Arial"/>
          <w:b/>
          <w:bCs/>
          <w:color w:val="0B0C0C"/>
          <w:sz w:val="27"/>
          <w:szCs w:val="27"/>
          <w:lang w:eastAsia="pt-BR"/>
        </w:rPr>
      </w:pPr>
      <w:r w:rsidRPr="00CB7C46">
        <w:rPr>
          <w:rFonts w:ascii="Arial" w:eastAsia="Times New Roman" w:hAnsi="Arial" w:cs="Arial"/>
          <w:b/>
          <w:bCs/>
          <w:color w:val="0B0C0C"/>
          <w:sz w:val="27"/>
          <w:szCs w:val="27"/>
          <w:lang w:eastAsia="pt-BR"/>
        </w:rPr>
        <w:t>Introduction of new accounting standard</w:t>
      </w:r>
    </w:p>
    <w:p w14:paraId="47D8D487"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International Financial Reporting Standard 16 (IFRS 16) is a significant change to the way leases are treated in financial accounts. This standard was effective from 1 January 2019. Some businesses adopted the standard earlier and responded using this new accounting treatment for leases in this year’s annual enterprise survey. Most will begin reporting on this basis in the annual enterprise survey for the 2020 financial year.</w:t>
      </w:r>
    </w:p>
    <w:p w14:paraId="645E1A01"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See </w:t>
      </w:r>
      <w:hyperlink r:id="rId12" w:history="1">
        <w:r w:rsidRPr="00CB7C46">
          <w:rPr>
            <w:rFonts w:ascii="Arial" w:eastAsia="Times New Roman" w:hAnsi="Arial" w:cs="Arial"/>
            <w:color w:val="005EA5"/>
            <w:sz w:val="29"/>
            <w:szCs w:val="29"/>
            <w:shd w:val="clear" w:color="auto" w:fill="FFFFFF"/>
            <w:lang w:eastAsia="pt-BR"/>
          </w:rPr>
          <w:t>NZ IFRS 16</w:t>
        </w:r>
      </w:hyperlink>
      <w:r w:rsidRPr="00CB7C46">
        <w:rPr>
          <w:rFonts w:ascii="Arial" w:eastAsia="Times New Roman" w:hAnsi="Arial" w:cs="Arial"/>
          <w:color w:val="0B0C0C"/>
          <w:sz w:val="29"/>
          <w:szCs w:val="29"/>
          <w:lang w:eastAsia="pt-BR"/>
        </w:rPr>
        <w:t> for further information including exceptions from using the new standard.</w:t>
      </w:r>
    </w:p>
    <w:p w14:paraId="091885D6"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IFRS 16 has the potential to cause significant changes to some of the data collected by the survey. All other things being equal, this change to the accounting of leases is expected to cause: assets, equity and liabilities to increase; interest expense and depreciation expense to increase; and expenses paid to other businesses (purchases) to decrease.</w:t>
      </w:r>
    </w:p>
    <w:p w14:paraId="0CD324AF"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Analysis of the final output data has shown only minor impacts due to IFRS 16 at the industry design level and higher output levels in the 2019 financial year.</w:t>
      </w:r>
    </w:p>
    <w:p w14:paraId="1B32FB0F" w14:textId="77777777" w:rsidR="00CB7C46" w:rsidRPr="00CB7C46" w:rsidRDefault="00CB7C46" w:rsidP="00CB7C46">
      <w:pPr>
        <w:shd w:val="clear" w:color="auto" w:fill="FFFFFF"/>
        <w:spacing w:after="100" w:afterAutospacing="1" w:line="240" w:lineRule="auto"/>
        <w:outlineLvl w:val="2"/>
        <w:rPr>
          <w:rFonts w:ascii="Arial" w:eastAsia="Times New Roman" w:hAnsi="Arial" w:cs="Arial"/>
          <w:b/>
          <w:bCs/>
          <w:color w:val="0B0C0C"/>
          <w:sz w:val="27"/>
          <w:szCs w:val="27"/>
          <w:lang w:eastAsia="pt-BR"/>
        </w:rPr>
      </w:pPr>
      <w:r w:rsidRPr="00CB7C46">
        <w:rPr>
          <w:rFonts w:ascii="Arial" w:eastAsia="Times New Roman" w:hAnsi="Arial" w:cs="Arial"/>
          <w:b/>
          <w:bCs/>
          <w:color w:val="0B0C0C"/>
          <w:sz w:val="27"/>
          <w:szCs w:val="27"/>
          <w:lang w:eastAsia="pt-BR"/>
        </w:rPr>
        <w:t>Business Performance Benchmarker</w:t>
      </w:r>
    </w:p>
    <w:p w14:paraId="0DD62BBE"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Use the </w:t>
      </w:r>
      <w:hyperlink r:id="rId13" w:history="1">
        <w:r w:rsidRPr="00CB7C46">
          <w:rPr>
            <w:rFonts w:ascii="Arial" w:eastAsia="Times New Roman" w:hAnsi="Arial" w:cs="Arial"/>
            <w:color w:val="005EA5"/>
            <w:sz w:val="29"/>
            <w:szCs w:val="29"/>
            <w:lang w:eastAsia="pt-BR"/>
          </w:rPr>
          <w:t>Business Performance Benchmarker</w:t>
        </w:r>
      </w:hyperlink>
      <w:r w:rsidRPr="00CB7C46">
        <w:rPr>
          <w:rFonts w:ascii="Arial" w:eastAsia="Times New Roman" w:hAnsi="Arial" w:cs="Arial"/>
          <w:color w:val="0B0C0C"/>
          <w:sz w:val="29"/>
          <w:szCs w:val="29"/>
          <w:lang w:eastAsia="pt-BR"/>
        </w:rPr>
        <w:t> to find key financial performance and benchmark statistics for business planning, or to compare your business against similar businesses.</w:t>
      </w:r>
    </w:p>
    <w:p w14:paraId="6C58E1D3"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Financial information for over 480 industries and financial ratio benchmarks for over 220 industries are now available. Use of this tool is free of charge.</w:t>
      </w:r>
    </w:p>
    <w:p w14:paraId="28DC58A2"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Definitions and metadata</w:t>
      </w:r>
    </w:p>
    <w:p w14:paraId="284117CB"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14" w:anchor="/nz.govt.stats/500ef9e6-32f0-4f32-9e33-a3182e4a06eb/#" w:tooltip="Link to Datainfo+" w:history="1">
        <w:r w:rsidRPr="00CB7C46">
          <w:rPr>
            <w:rFonts w:ascii="Arial" w:eastAsia="Times New Roman" w:hAnsi="Arial" w:cs="Arial"/>
            <w:color w:val="005EA5"/>
            <w:sz w:val="29"/>
            <w:szCs w:val="29"/>
            <w:lang w:eastAsia="pt-BR"/>
          </w:rPr>
          <w:t>Annual enterprise survey 2019 – Datainfo+</w:t>
        </w:r>
      </w:hyperlink>
      <w:r w:rsidRPr="00CB7C46">
        <w:rPr>
          <w:rFonts w:ascii="Arial" w:eastAsia="Times New Roman" w:hAnsi="Arial" w:cs="Arial"/>
          <w:color w:val="0B0C0C"/>
          <w:sz w:val="29"/>
          <w:szCs w:val="29"/>
          <w:lang w:eastAsia="pt-BR"/>
        </w:rPr>
        <w:t> gives information specific to this year’s survey, such as population, and the methodology and questionnaires used.</w:t>
      </w:r>
    </w:p>
    <w:p w14:paraId="643A9186"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15" w:history="1">
        <w:r w:rsidRPr="00CB7C46">
          <w:rPr>
            <w:rFonts w:ascii="Arial" w:eastAsia="Times New Roman" w:hAnsi="Arial" w:cs="Arial"/>
            <w:color w:val="005EA5"/>
            <w:sz w:val="29"/>
            <w:szCs w:val="29"/>
            <w:lang w:eastAsia="pt-BR"/>
          </w:rPr>
          <w:t>Annual enterprise survey – Datainfo+</w:t>
        </w:r>
      </w:hyperlink>
      <w:r w:rsidRPr="00CB7C46">
        <w:rPr>
          <w:rFonts w:ascii="Arial" w:eastAsia="Times New Roman" w:hAnsi="Arial" w:cs="Arial"/>
          <w:color w:val="0B0C0C"/>
          <w:sz w:val="29"/>
          <w:szCs w:val="29"/>
          <w:lang w:eastAsia="pt-BR"/>
        </w:rPr>
        <w:t>  gives information such as the general methodology used to produce the Annual Enterprise Survey, how to interpret the data, data limitations, and survey definitions.</w:t>
      </w:r>
    </w:p>
    <w:p w14:paraId="68E5692B" w14:textId="2F408C9A" w:rsidR="00CB7C46" w:rsidRDefault="00CB7C46">
      <w:r>
        <w:br w:type="page"/>
      </w:r>
    </w:p>
    <w:p w14:paraId="4219A4E4" w14:textId="77777777" w:rsidR="00CB7C46" w:rsidRPr="00CB7C46" w:rsidRDefault="00CB7C46" w:rsidP="00CB7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CB7C46">
        <w:rPr>
          <w:rFonts w:ascii="Times New Roman" w:eastAsia="Times New Roman" w:hAnsi="Times New Roman" w:cs="Times New Roman"/>
          <w:b/>
          <w:bCs/>
          <w:kern w:val="36"/>
          <w:sz w:val="48"/>
          <w:szCs w:val="48"/>
          <w:lang w:eastAsia="pt-BR"/>
        </w:rPr>
        <w:lastRenderedPageBreak/>
        <w:t>Annual enterprise survey: 2020 financial year (provisional)</w:t>
      </w:r>
    </w:p>
    <w:p w14:paraId="6CD78A47" w14:textId="77777777" w:rsidR="00CB7C46" w:rsidRPr="00CB7C46" w:rsidRDefault="00CB7C46" w:rsidP="00CB7C46">
      <w:pPr>
        <w:spacing w:before="100" w:beforeAutospacing="1" w:after="0" w:line="240" w:lineRule="auto"/>
        <w:textAlignment w:val="bottom"/>
        <w:rPr>
          <w:rFonts w:ascii="Times New Roman" w:eastAsia="Times New Roman" w:hAnsi="Times New Roman" w:cs="Times New Roman"/>
          <w:color w:val="706F6E"/>
          <w:sz w:val="24"/>
          <w:szCs w:val="24"/>
          <w:lang w:eastAsia="pt-BR"/>
        </w:rPr>
      </w:pPr>
      <w:r w:rsidRPr="00CB7C46">
        <w:rPr>
          <w:rFonts w:ascii="Times New Roman" w:eastAsia="Times New Roman" w:hAnsi="Times New Roman" w:cs="Times New Roman"/>
          <w:color w:val="706F6E"/>
          <w:sz w:val="24"/>
          <w:szCs w:val="24"/>
          <w:lang w:eastAsia="pt-BR"/>
        </w:rPr>
        <w:t>30 June 2021, 10:45am</w:t>
      </w:r>
    </w:p>
    <w:p w14:paraId="11900C3E"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The annual enterprise survey (AES) is New Zealand’s most comprehensive source of financial statistics covering around 500,000 businesses. It provides annual information on the financial performance and financial position for industry groups operating in New Zealand.</w:t>
      </w:r>
    </w:p>
    <w:p w14:paraId="5E325D25"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Download data</w:t>
      </w:r>
    </w:p>
    <w:p w14:paraId="355C9648" w14:textId="02E26446" w:rsidR="00CB7C46" w:rsidRPr="00CB7C46" w:rsidRDefault="00CB7C46" w:rsidP="0030743E">
      <w:pPr>
        <w:numPr>
          <w:ilvl w:val="0"/>
          <w:numId w:val="5"/>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16" w:history="1">
        <w:r w:rsidRPr="00CB7C46">
          <w:rPr>
            <w:rFonts w:ascii="Arial" w:eastAsia="Times New Roman" w:hAnsi="Arial" w:cs="Arial"/>
            <w:color w:val="005EA5"/>
            <w:sz w:val="27"/>
            <w:szCs w:val="27"/>
            <w:lang w:eastAsia="pt-BR"/>
          </w:rPr>
          <w:t>Annual enterprise survey: 2020 financial year (provisional) – CSV</w:t>
        </w:r>
      </w:hyperlink>
    </w:p>
    <w:p w14:paraId="3BFE261E"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5.6 MB</w:t>
      </w:r>
    </w:p>
    <w:p w14:paraId="18D84114" w14:textId="240E2F45" w:rsidR="00CB7C46" w:rsidRPr="00CB7C46" w:rsidRDefault="00CB7C46" w:rsidP="0030743E">
      <w:pPr>
        <w:numPr>
          <w:ilvl w:val="0"/>
          <w:numId w:val="5"/>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17" w:history="1">
        <w:r w:rsidRPr="00CB7C46">
          <w:rPr>
            <w:rFonts w:ascii="Arial" w:eastAsia="Times New Roman" w:hAnsi="Arial" w:cs="Arial"/>
            <w:color w:val="005EA5"/>
            <w:sz w:val="27"/>
            <w:szCs w:val="27"/>
            <w:lang w:eastAsia="pt-BR"/>
          </w:rPr>
          <w:t>Annual enterprise survey: 2020 financial year (provisional) – size bands</w:t>
        </w:r>
      </w:hyperlink>
    </w:p>
    <w:p w14:paraId="3B4558BC"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Excel spreadsheet, 77 KB</w:t>
      </w:r>
    </w:p>
    <w:p w14:paraId="70E311EE" w14:textId="69225CD8" w:rsidR="00CB7C46" w:rsidRPr="00CB7C46" w:rsidRDefault="00CB7C46" w:rsidP="0030743E">
      <w:pPr>
        <w:numPr>
          <w:ilvl w:val="0"/>
          <w:numId w:val="5"/>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18" w:history="1">
        <w:r w:rsidRPr="00CB7C46">
          <w:rPr>
            <w:rFonts w:ascii="Arial" w:eastAsia="Times New Roman" w:hAnsi="Arial" w:cs="Arial"/>
            <w:color w:val="005EA5"/>
            <w:sz w:val="27"/>
            <w:szCs w:val="27"/>
            <w:lang w:eastAsia="pt-BR"/>
          </w:rPr>
          <w:t>Annual enterprise survey: 2020 financial year (provisional) – size bands CSV</w:t>
        </w:r>
      </w:hyperlink>
    </w:p>
    <w:p w14:paraId="5233D2B8"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1.3 MB</w:t>
      </w:r>
    </w:p>
    <w:p w14:paraId="2927AF0B"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Key facts</w:t>
      </w:r>
    </w:p>
    <w:p w14:paraId="7272F66F"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Provisional results for all Annual Enterprise Survey industries for the 2020 financial year, compared with 2019:</w:t>
      </w:r>
    </w:p>
    <w:p w14:paraId="3F64FE6E" w14:textId="77777777" w:rsidR="00CB7C46" w:rsidRPr="00CB7C46" w:rsidRDefault="00CB7C46" w:rsidP="00CB7C46">
      <w:pPr>
        <w:numPr>
          <w:ilvl w:val="0"/>
          <w:numId w:val="6"/>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income increased $4.6 billion (0.6 percent) to $733.3 billion</w:t>
      </w:r>
    </w:p>
    <w:p w14:paraId="2081906A" w14:textId="77777777" w:rsidR="00CB7C46" w:rsidRPr="00CB7C46" w:rsidRDefault="00CB7C46" w:rsidP="00CB7C46">
      <w:pPr>
        <w:numPr>
          <w:ilvl w:val="0"/>
          <w:numId w:val="6"/>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expenditure increased $19.9 billion (3.1 percent) to $654.9 billion</w:t>
      </w:r>
    </w:p>
    <w:p w14:paraId="258DECCE" w14:textId="77777777" w:rsidR="00CB7C46" w:rsidRPr="00CB7C46" w:rsidRDefault="00CB7C46" w:rsidP="00CB7C46">
      <w:pPr>
        <w:numPr>
          <w:ilvl w:val="0"/>
          <w:numId w:val="6"/>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earned $79.4 billion in surplus before income tax – down $17.9 billion (18.4 percent)</w:t>
      </w:r>
    </w:p>
    <w:p w14:paraId="50C25A73" w14:textId="77777777" w:rsidR="00CB7C46" w:rsidRPr="00CB7C46" w:rsidRDefault="00CB7C46" w:rsidP="00CB7C46">
      <w:pPr>
        <w:numPr>
          <w:ilvl w:val="0"/>
          <w:numId w:val="6"/>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assets increased $162 billion (7.3 percent) to $2.4 trillion</w:t>
      </w:r>
    </w:p>
    <w:p w14:paraId="4B14CFC8" w14:textId="77777777" w:rsidR="00CB7C46" w:rsidRPr="00CB7C46" w:rsidRDefault="00CB7C46" w:rsidP="00CB7C46">
      <w:pPr>
        <w:numPr>
          <w:ilvl w:val="0"/>
          <w:numId w:val="6"/>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made a 3 percent return on assets – down by 1 percentage point.</w:t>
      </w:r>
    </w:p>
    <w:p w14:paraId="78741BF8"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The 2020 Annual Enterprise Survey results were impacted by both COVID-19 and a new accounting standard.</w:t>
      </w:r>
    </w:p>
    <w:p w14:paraId="19620403"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New accounting standard for leases</w:t>
      </w:r>
    </w:p>
    <w:p w14:paraId="6040B7F0"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On 1 January 2019 most businesses changed the way they account for leased (‘right-of-use’) assets under the International Financial Reporting Standard 16 (IFRS 16). See </w:t>
      </w:r>
      <w:hyperlink r:id="rId19" w:history="1">
        <w:r w:rsidRPr="00CB7C46">
          <w:rPr>
            <w:rFonts w:ascii="Arial" w:eastAsia="Times New Roman" w:hAnsi="Arial" w:cs="Arial"/>
            <w:color w:val="005EA5"/>
            <w:sz w:val="29"/>
            <w:szCs w:val="29"/>
            <w:lang w:eastAsia="pt-BR"/>
          </w:rPr>
          <w:t>NZ IFRS 16</w:t>
        </w:r>
      </w:hyperlink>
      <w:r w:rsidRPr="00CB7C46">
        <w:rPr>
          <w:rFonts w:ascii="Arial" w:eastAsia="Times New Roman" w:hAnsi="Arial" w:cs="Arial"/>
          <w:color w:val="0B0C0C"/>
          <w:sz w:val="29"/>
          <w:szCs w:val="29"/>
          <w:lang w:eastAsia="pt-BR"/>
        </w:rPr>
        <w:t> for further information.</w:t>
      </w:r>
    </w:p>
    <w:p w14:paraId="2DDD4BA7"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The change to the accounting of leases caused:</w:t>
      </w:r>
    </w:p>
    <w:p w14:paraId="1DAC1ADD" w14:textId="77777777" w:rsidR="00CB7C46" w:rsidRPr="00CB7C46" w:rsidRDefault="00CB7C46" w:rsidP="00CB7C46">
      <w:pPr>
        <w:numPr>
          <w:ilvl w:val="0"/>
          <w:numId w:val="7"/>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assets and liabilities to increase</w:t>
      </w:r>
    </w:p>
    <w:p w14:paraId="6E8F57EA" w14:textId="77777777" w:rsidR="00CB7C46" w:rsidRPr="00CB7C46" w:rsidRDefault="00CB7C46" w:rsidP="00CB7C46">
      <w:pPr>
        <w:numPr>
          <w:ilvl w:val="0"/>
          <w:numId w:val="7"/>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lastRenderedPageBreak/>
        <w:t>depreciation and interest expenses to increase</w:t>
      </w:r>
    </w:p>
    <w:p w14:paraId="0C2C9EBA" w14:textId="77777777" w:rsidR="00CB7C46" w:rsidRPr="00CB7C46" w:rsidRDefault="00CB7C46" w:rsidP="00CB7C46">
      <w:pPr>
        <w:numPr>
          <w:ilvl w:val="0"/>
          <w:numId w:val="7"/>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other operating expenses to decrease.</w:t>
      </w:r>
    </w:p>
    <w:p w14:paraId="26D1FCA5"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Provisional results for all Annual Enterprise Survey industries for the 2020 financial year:</w:t>
      </w:r>
    </w:p>
    <w:p w14:paraId="60D60CD2" w14:textId="77777777" w:rsidR="00CB7C46" w:rsidRPr="00CB7C46" w:rsidRDefault="00CB7C46" w:rsidP="00CB7C46">
      <w:pPr>
        <w:numPr>
          <w:ilvl w:val="0"/>
          <w:numId w:val="8"/>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$29.3 billion of other assets is from right-of-use assets</w:t>
      </w:r>
    </w:p>
    <w:p w14:paraId="0EB6CE0D" w14:textId="77777777" w:rsidR="00CB7C46" w:rsidRPr="00CB7C46" w:rsidRDefault="00CB7C46" w:rsidP="00CB7C46">
      <w:pPr>
        <w:numPr>
          <w:ilvl w:val="0"/>
          <w:numId w:val="8"/>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$33.5 billion of liabilities is from lease liabilities (including sub-leases)</w:t>
      </w:r>
    </w:p>
    <w:p w14:paraId="160B8292" w14:textId="77777777" w:rsidR="00CB7C46" w:rsidRPr="00CB7C46" w:rsidRDefault="00CB7C46" w:rsidP="00CB7C46">
      <w:pPr>
        <w:numPr>
          <w:ilvl w:val="0"/>
          <w:numId w:val="8"/>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$4.7 billion of depreciation is from right-of-use assets</w:t>
      </w:r>
    </w:p>
    <w:p w14:paraId="529CD735" w14:textId="77777777" w:rsidR="00CB7C46" w:rsidRPr="00CB7C46" w:rsidRDefault="00CB7C46" w:rsidP="00CB7C46">
      <w:pPr>
        <w:numPr>
          <w:ilvl w:val="0"/>
          <w:numId w:val="8"/>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$1.4 billion of interest expense is from lease liabilities.</w:t>
      </w:r>
    </w:p>
    <w:p w14:paraId="59F4BBB3" w14:textId="1ABF88AD" w:rsidR="00CB7C46" w:rsidRPr="00CB7C46" w:rsidRDefault="00CB7C46" w:rsidP="00CB7C46">
      <w:pPr>
        <w:shd w:val="clear" w:color="auto" w:fill="FFFFFF"/>
        <w:spacing w:after="0" w:line="240" w:lineRule="auto"/>
        <w:rPr>
          <w:rFonts w:ascii="Arial" w:eastAsia="Times New Roman" w:hAnsi="Arial" w:cs="Arial"/>
          <w:color w:val="0B0C0C"/>
          <w:sz w:val="29"/>
          <w:szCs w:val="29"/>
          <w:lang w:eastAsia="pt-BR"/>
        </w:rPr>
      </w:pPr>
    </w:p>
    <w:p w14:paraId="1CD19B45" w14:textId="77777777" w:rsidR="00CB7C46" w:rsidRPr="00CB7C46" w:rsidRDefault="00CB7C46" w:rsidP="00CB7C46">
      <w:pPr>
        <w:shd w:val="clear" w:color="auto" w:fill="FFFFFF"/>
        <w:spacing w:after="0"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depreciation ($), all Annual Enterprise Survey industries, 2016–2020 financial years2016201720182019202005B10B15B20B25B30BStats NZ</w:t>
      </w:r>
    </w:p>
    <w:p w14:paraId="303E665B"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In 2020, the three industries with the largest right-of-use assets were:</w:t>
      </w:r>
    </w:p>
    <w:p w14:paraId="64E9850D" w14:textId="77777777" w:rsidR="00CB7C46" w:rsidRPr="00CB7C46" w:rsidRDefault="00CB7C46" w:rsidP="00CB7C46">
      <w:pPr>
        <w:numPr>
          <w:ilvl w:val="0"/>
          <w:numId w:val="10"/>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retail trade and accommodation ($6.6 billion)</w:t>
      </w:r>
    </w:p>
    <w:p w14:paraId="6DA23550" w14:textId="77777777" w:rsidR="00CB7C46" w:rsidRPr="00CB7C46" w:rsidRDefault="00CB7C46" w:rsidP="00CB7C46">
      <w:pPr>
        <w:numPr>
          <w:ilvl w:val="0"/>
          <w:numId w:val="10"/>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transport, postal, and warehousing ($4.6 billion)</w:t>
      </w:r>
    </w:p>
    <w:p w14:paraId="02E425FE" w14:textId="77777777" w:rsidR="00CB7C46" w:rsidRPr="00CB7C46" w:rsidRDefault="00CB7C46" w:rsidP="00CB7C46">
      <w:pPr>
        <w:numPr>
          <w:ilvl w:val="0"/>
          <w:numId w:val="10"/>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manufacturing ($3.8 billion).</w:t>
      </w:r>
    </w:p>
    <w:p w14:paraId="0592325B"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Impact of COVID-19</w:t>
      </w:r>
    </w:p>
    <w:p w14:paraId="54A27F90"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As the 2020 Annual Enterprise Survey results cover enterprises with balance dates between 1 October 2019 to 30 September 2020, the impact of COVID-19 is varied. </w:t>
      </w:r>
    </w:p>
    <w:p w14:paraId="7904921D"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Approximately $2 billion of government funding, grants, and subsidies were from COVID-19 wage subsidies in the 2020 Annual Enterprise Survey. Wage subsidies passed on to employees are captured under salaries and wages paid. Significantly more COVID-19 wage subsidies are expected in the 2021 Annual Enterprise Survey results.</w:t>
      </w:r>
    </w:p>
    <w:p w14:paraId="5A5EBF5E" w14:textId="7FF763F9" w:rsidR="006865A6" w:rsidRDefault="00CB7C46">
      <w:r w:rsidRPr="00CB7C46">
        <w:drawing>
          <wp:inline distT="0" distB="0" distL="0" distR="0" wp14:anchorId="731CC9D3" wp14:editId="6B964C3B">
            <wp:extent cx="6645910" cy="3197860"/>
            <wp:effectExtent l="0" t="0" r="2540" b="2540"/>
            <wp:docPr id="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10;&#10;Descrição gerada automaticamente"/>
                    <pic:cNvPicPr/>
                  </pic:nvPicPr>
                  <pic:blipFill>
                    <a:blip r:embed="rId20"/>
                    <a:stretch>
                      <a:fillRect/>
                    </a:stretch>
                  </pic:blipFill>
                  <pic:spPr>
                    <a:xfrm>
                      <a:off x="0" y="0"/>
                      <a:ext cx="6645910" cy="3197860"/>
                    </a:xfrm>
                    <a:prstGeom prst="rect">
                      <a:avLst/>
                    </a:prstGeom>
                  </pic:spPr>
                </pic:pic>
              </a:graphicData>
            </a:graphic>
          </wp:inline>
        </w:drawing>
      </w:r>
    </w:p>
    <w:p w14:paraId="50C34111" w14:textId="0D390853" w:rsidR="00CB7C46" w:rsidRDefault="00CB7C46">
      <w:r w:rsidRPr="00CB7C46">
        <w:lastRenderedPageBreak/>
        <w:drawing>
          <wp:inline distT="0" distB="0" distL="0" distR="0" wp14:anchorId="7C0E7F4D" wp14:editId="4DBAAAD8">
            <wp:extent cx="6645910" cy="2611120"/>
            <wp:effectExtent l="0" t="0" r="2540" b="0"/>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pic:nvPicPr>
                  <pic:blipFill>
                    <a:blip r:embed="rId21"/>
                    <a:stretch>
                      <a:fillRect/>
                    </a:stretch>
                  </pic:blipFill>
                  <pic:spPr>
                    <a:xfrm>
                      <a:off x="0" y="0"/>
                      <a:ext cx="6645910" cy="2611120"/>
                    </a:xfrm>
                    <a:prstGeom prst="rect">
                      <a:avLst/>
                    </a:prstGeom>
                  </pic:spPr>
                </pic:pic>
              </a:graphicData>
            </a:graphic>
          </wp:inline>
        </w:drawing>
      </w:r>
    </w:p>
    <w:p w14:paraId="3395D6ED"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Business Performance Benchmarker</w:t>
      </w:r>
    </w:p>
    <w:p w14:paraId="16630F20"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Use the </w:t>
      </w:r>
      <w:hyperlink r:id="rId22" w:history="1">
        <w:r w:rsidRPr="00CB7C46">
          <w:rPr>
            <w:rFonts w:ascii="Arial" w:eastAsia="Times New Roman" w:hAnsi="Arial" w:cs="Arial"/>
            <w:color w:val="005EA5"/>
            <w:sz w:val="29"/>
            <w:szCs w:val="29"/>
            <w:u w:val="single"/>
            <w:lang w:eastAsia="pt-BR"/>
          </w:rPr>
          <w:t>Business Performance Benchmarker</w:t>
        </w:r>
      </w:hyperlink>
      <w:r w:rsidRPr="00CB7C46">
        <w:rPr>
          <w:rFonts w:ascii="Arial" w:eastAsia="Times New Roman" w:hAnsi="Arial" w:cs="Arial"/>
          <w:color w:val="0B0C0C"/>
          <w:sz w:val="29"/>
          <w:szCs w:val="29"/>
          <w:lang w:eastAsia="pt-BR"/>
        </w:rPr>
        <w:t> to find key financial performance and benchmark statistics for business planning, or to compare your business against similar businesses.</w:t>
      </w:r>
    </w:p>
    <w:p w14:paraId="71480DF9"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Financial information for over 480 industries and financial ratio benchmarks for over 220 industries are now available. Use of this tool is free of charge.</w:t>
      </w:r>
    </w:p>
    <w:p w14:paraId="744CF101"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Revisions</w:t>
      </w:r>
    </w:p>
    <w:p w14:paraId="46C6B4C4"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We revised the following series in the two CSV files under </w:t>
      </w:r>
      <w:hyperlink r:id="rId23" w:anchor="download-data" w:history="1">
        <w:r w:rsidRPr="00CB7C46">
          <w:rPr>
            <w:rFonts w:ascii="Arial" w:eastAsia="Times New Roman" w:hAnsi="Arial" w:cs="Arial"/>
            <w:color w:val="005EA5"/>
            <w:sz w:val="29"/>
            <w:szCs w:val="29"/>
            <w:u w:val="single"/>
            <w:lang w:eastAsia="pt-BR"/>
          </w:rPr>
          <w:t>Download data</w:t>
        </w:r>
      </w:hyperlink>
      <w:r w:rsidRPr="00CB7C46">
        <w:rPr>
          <w:rFonts w:ascii="Arial" w:eastAsia="Times New Roman" w:hAnsi="Arial" w:cs="Arial"/>
          <w:color w:val="0B0C0C"/>
          <w:sz w:val="29"/>
          <w:szCs w:val="29"/>
          <w:lang w:eastAsia="pt-BR"/>
        </w:rPr>
        <w:t>:</w:t>
      </w:r>
    </w:p>
    <w:p w14:paraId="5011915A" w14:textId="77777777" w:rsidR="00CB7C46" w:rsidRPr="00CB7C46" w:rsidRDefault="00CB7C46" w:rsidP="00CB7C46">
      <w:pPr>
        <w:numPr>
          <w:ilvl w:val="0"/>
          <w:numId w:val="11"/>
        </w:numPr>
        <w:shd w:val="clear" w:color="auto" w:fill="FFFFFF"/>
        <w:spacing w:after="100" w:afterAutospacing="1" w:line="240" w:lineRule="auto"/>
        <w:ind w:left="495"/>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2018 and 2019 financial years, previously published as provisional.</w:t>
      </w:r>
    </w:p>
    <w:p w14:paraId="4D0214D8"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Definitions and metadata</w:t>
      </w:r>
    </w:p>
    <w:p w14:paraId="63E67291"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24" w:anchor="/nz.govt.stats/7066c34f-6f27-4327-8106-3feb8beb9747" w:history="1">
        <w:r w:rsidRPr="00CB7C46">
          <w:rPr>
            <w:rFonts w:ascii="Arial" w:eastAsia="Times New Roman" w:hAnsi="Arial" w:cs="Arial"/>
            <w:color w:val="005EA5"/>
            <w:sz w:val="29"/>
            <w:szCs w:val="29"/>
            <w:u w:val="single"/>
            <w:lang w:eastAsia="pt-BR"/>
          </w:rPr>
          <w:t>Annual enterprise survey 2020 – Datainfo+</w:t>
        </w:r>
      </w:hyperlink>
      <w:r w:rsidRPr="00CB7C46">
        <w:rPr>
          <w:rFonts w:ascii="Arial" w:eastAsia="Times New Roman" w:hAnsi="Arial" w:cs="Arial"/>
          <w:color w:val="0B0C0C"/>
          <w:sz w:val="29"/>
          <w:szCs w:val="29"/>
          <w:lang w:eastAsia="pt-BR"/>
        </w:rPr>
        <w:t> gives information specific to this year’s survey, such as population, and the methodology and questionnaires used.</w:t>
      </w:r>
    </w:p>
    <w:p w14:paraId="1AC60530"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25" w:history="1">
        <w:r w:rsidRPr="00CB7C46">
          <w:rPr>
            <w:rFonts w:ascii="Arial" w:eastAsia="Times New Roman" w:hAnsi="Arial" w:cs="Arial"/>
            <w:color w:val="005EA5"/>
            <w:sz w:val="29"/>
            <w:szCs w:val="29"/>
            <w:u w:val="single"/>
            <w:lang w:eastAsia="pt-BR"/>
          </w:rPr>
          <w:t>Annual enterprise survey – Datainfo+</w:t>
        </w:r>
      </w:hyperlink>
      <w:r w:rsidRPr="00CB7C46">
        <w:rPr>
          <w:rFonts w:ascii="Arial" w:eastAsia="Times New Roman" w:hAnsi="Arial" w:cs="Arial"/>
          <w:color w:val="0B0C0C"/>
          <w:sz w:val="29"/>
          <w:szCs w:val="29"/>
          <w:lang w:eastAsia="pt-BR"/>
        </w:rPr>
        <w:t> gives information such as the general methodology used to produce the Annual Enterprise Survey, how to interpret the data, data limitations, and survey definitions.</w:t>
      </w:r>
    </w:p>
    <w:p w14:paraId="716BDCB1" w14:textId="77777777" w:rsidR="00CB7C46" w:rsidRPr="00CB7C46" w:rsidRDefault="00CB7C46" w:rsidP="00CB7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CB7C46">
        <w:rPr>
          <w:rFonts w:ascii="Times New Roman" w:eastAsia="Times New Roman" w:hAnsi="Times New Roman" w:cs="Times New Roman"/>
          <w:b/>
          <w:bCs/>
          <w:kern w:val="36"/>
          <w:sz w:val="48"/>
          <w:szCs w:val="48"/>
          <w:lang w:eastAsia="pt-BR"/>
        </w:rPr>
        <w:t>Annual enterprise survey: 2021 financial year (provisional)</w:t>
      </w:r>
    </w:p>
    <w:p w14:paraId="51FE73DA" w14:textId="77777777" w:rsidR="00CB7C46" w:rsidRPr="00CB7C46" w:rsidRDefault="00CB7C46" w:rsidP="00CB7C46">
      <w:pPr>
        <w:spacing w:before="100" w:beforeAutospacing="1" w:after="0" w:line="240" w:lineRule="auto"/>
        <w:textAlignment w:val="bottom"/>
        <w:rPr>
          <w:rFonts w:ascii="Times New Roman" w:eastAsia="Times New Roman" w:hAnsi="Times New Roman" w:cs="Times New Roman"/>
          <w:color w:val="706F6E"/>
          <w:sz w:val="24"/>
          <w:szCs w:val="24"/>
          <w:lang w:eastAsia="pt-BR"/>
        </w:rPr>
      </w:pPr>
      <w:r w:rsidRPr="00CB7C46">
        <w:rPr>
          <w:rFonts w:ascii="Times New Roman" w:eastAsia="Times New Roman" w:hAnsi="Times New Roman" w:cs="Times New Roman"/>
          <w:color w:val="706F6E"/>
          <w:sz w:val="24"/>
          <w:szCs w:val="24"/>
          <w:lang w:eastAsia="pt-BR"/>
        </w:rPr>
        <w:t>30 June 2022, 10:45am</w:t>
      </w:r>
    </w:p>
    <w:p w14:paraId="145D25DD"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The annual enterprise survey (AES) is New Zealand’s most comprehensive source of financial statistics covering around 500,000 businesses. It provides annual information on the financial performance and financial position for industry groups operating in New Zealand.</w:t>
      </w:r>
    </w:p>
    <w:p w14:paraId="54823E1D"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lastRenderedPageBreak/>
        <w:t>Download data</w:t>
      </w:r>
    </w:p>
    <w:p w14:paraId="44D449C2" w14:textId="31CA3285" w:rsidR="00CB7C46" w:rsidRPr="00CB7C46" w:rsidRDefault="00CB7C46" w:rsidP="0030743E">
      <w:pPr>
        <w:numPr>
          <w:ilvl w:val="0"/>
          <w:numId w:val="12"/>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26" w:history="1">
        <w:r w:rsidRPr="00CB7C46">
          <w:rPr>
            <w:rFonts w:ascii="Arial" w:eastAsia="Times New Roman" w:hAnsi="Arial" w:cs="Arial"/>
            <w:color w:val="005EA5"/>
            <w:sz w:val="27"/>
            <w:szCs w:val="27"/>
            <w:lang w:eastAsia="pt-BR"/>
          </w:rPr>
          <w:t>Annual enterprise survey: 2021 financial year (provisional) – CSV</w:t>
        </w:r>
      </w:hyperlink>
    </w:p>
    <w:p w14:paraId="1F1E74D7"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6.3 MB</w:t>
      </w:r>
    </w:p>
    <w:p w14:paraId="1DC0C356" w14:textId="526521B0" w:rsidR="00CB7C46" w:rsidRPr="00CB7C46" w:rsidRDefault="00CB7C46" w:rsidP="0030743E">
      <w:pPr>
        <w:numPr>
          <w:ilvl w:val="0"/>
          <w:numId w:val="12"/>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27" w:history="1">
        <w:r w:rsidRPr="00CB7C46">
          <w:rPr>
            <w:rFonts w:ascii="Arial" w:eastAsia="Times New Roman" w:hAnsi="Arial" w:cs="Arial"/>
            <w:color w:val="005EA5"/>
            <w:sz w:val="27"/>
            <w:szCs w:val="27"/>
            <w:lang w:eastAsia="pt-BR"/>
          </w:rPr>
          <w:t>Annual enterprise survey: 2021 financial year (provisional) – size bands</w:t>
        </w:r>
      </w:hyperlink>
    </w:p>
    <w:p w14:paraId="071273B7"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Excel spreadsheet, 78 KB</w:t>
      </w:r>
    </w:p>
    <w:p w14:paraId="6896A198" w14:textId="415B8DAA" w:rsidR="00CB7C46" w:rsidRPr="00CB7C46" w:rsidRDefault="00CB7C46" w:rsidP="0030743E">
      <w:pPr>
        <w:numPr>
          <w:ilvl w:val="0"/>
          <w:numId w:val="12"/>
        </w:numPr>
        <w:shd w:val="clear" w:color="auto" w:fill="FFFFFF"/>
        <w:spacing w:before="100" w:beforeAutospacing="1" w:after="100" w:afterAutospacing="1" w:line="240" w:lineRule="auto"/>
        <w:ind w:left="495"/>
        <w:rPr>
          <w:rFonts w:ascii="Arial" w:eastAsia="Times New Roman" w:hAnsi="Arial" w:cs="Arial"/>
          <w:color w:val="0B0C0C"/>
          <w:sz w:val="29"/>
          <w:szCs w:val="29"/>
          <w:lang w:eastAsia="pt-BR"/>
        </w:rPr>
      </w:pPr>
      <w:hyperlink r:id="rId28" w:history="1">
        <w:r w:rsidRPr="00CB7C46">
          <w:rPr>
            <w:rFonts w:ascii="Arial" w:eastAsia="Times New Roman" w:hAnsi="Arial" w:cs="Arial"/>
            <w:color w:val="005EA5"/>
            <w:sz w:val="27"/>
            <w:szCs w:val="27"/>
            <w:lang w:eastAsia="pt-BR"/>
          </w:rPr>
          <w:t>Annual enterprise survey: 2021 financial year (provisional) – size bands CSV</w:t>
        </w:r>
      </w:hyperlink>
    </w:p>
    <w:p w14:paraId="75C2306A" w14:textId="77777777" w:rsidR="00CB7C46" w:rsidRPr="00CB7C46" w:rsidRDefault="00CB7C46" w:rsidP="00CB7C46">
      <w:pPr>
        <w:shd w:val="clear" w:color="auto" w:fill="FFFFFF"/>
        <w:spacing w:line="240" w:lineRule="auto"/>
        <w:ind w:left="14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Comma Separated Values, 1.4 MB</w:t>
      </w:r>
    </w:p>
    <w:p w14:paraId="35C83770"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Key facts</w:t>
      </w:r>
    </w:p>
    <w:p w14:paraId="5D0390F0"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Provisional results for all AES industries for the 2021 financial year, compared with 2020:​ </w:t>
      </w:r>
    </w:p>
    <w:p w14:paraId="6CDC2B70" w14:textId="77777777" w:rsidR="00CB7C46" w:rsidRPr="00CB7C46" w:rsidRDefault="00CB7C46" w:rsidP="00CB7C46">
      <w:pPr>
        <w:numPr>
          <w:ilvl w:val="0"/>
          <w:numId w:val="13"/>
        </w:numPr>
        <w:shd w:val="clear" w:color="auto" w:fill="FFFFFF"/>
        <w:spacing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income increased $25.3 billion (3.5 percent) to $757.5 billion​</w:t>
      </w:r>
    </w:p>
    <w:p w14:paraId="557B693D" w14:textId="77777777" w:rsidR="00CB7C46" w:rsidRPr="00CB7C46" w:rsidRDefault="00CB7C46" w:rsidP="00CB7C46">
      <w:pPr>
        <w:numPr>
          <w:ilvl w:val="0"/>
          <w:numId w:val="13"/>
        </w:numPr>
        <w:shd w:val="clear" w:color="auto" w:fill="FFFFFF"/>
        <w:spacing w:before="100"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expenditure increased $96 million (0.01 percent) to $654.4 billion​</w:t>
      </w:r>
    </w:p>
    <w:p w14:paraId="7A81253E" w14:textId="77777777" w:rsidR="00CB7C46" w:rsidRPr="00CB7C46" w:rsidRDefault="00CB7C46" w:rsidP="00CB7C46">
      <w:pPr>
        <w:numPr>
          <w:ilvl w:val="0"/>
          <w:numId w:val="13"/>
        </w:numPr>
        <w:shd w:val="clear" w:color="auto" w:fill="FFFFFF"/>
        <w:spacing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earned $103.3 billion in surplus before income tax – up $24.5 billion (31.1 percent)​</w:t>
      </w:r>
    </w:p>
    <w:p w14:paraId="477EC4CB" w14:textId="77777777" w:rsidR="00CB7C46" w:rsidRPr="00CB7C46" w:rsidRDefault="00CB7C46" w:rsidP="00CB7C46">
      <w:pPr>
        <w:numPr>
          <w:ilvl w:val="0"/>
          <w:numId w:val="13"/>
        </w:numPr>
        <w:shd w:val="clear" w:color="auto" w:fill="FFFFFF"/>
        <w:spacing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Total assets increased $128.8 billion (5.4 percent) to $2.5 trillion​</w:t>
      </w:r>
    </w:p>
    <w:p w14:paraId="65507097" w14:textId="77777777" w:rsidR="00CB7C46" w:rsidRPr="00CB7C46" w:rsidRDefault="00CB7C46" w:rsidP="00CB7C46">
      <w:pPr>
        <w:numPr>
          <w:ilvl w:val="0"/>
          <w:numId w:val="13"/>
        </w:numPr>
        <w:shd w:val="clear" w:color="auto" w:fill="FFFFFF"/>
        <w:spacing w:beforeAutospacing="1" w:after="100" w:afterAutospacing="1" w:line="240" w:lineRule="auto"/>
        <w:ind w:left="270"/>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Businesses made a 4 percent return on assets – up by 1 percentage point.</w:t>
      </w:r>
    </w:p>
    <w:p w14:paraId="6001022F" w14:textId="4BFEFF7C" w:rsidR="00CB7C46" w:rsidRDefault="00CB7C46">
      <w:r w:rsidRPr="00CB7C46">
        <w:drawing>
          <wp:inline distT="0" distB="0" distL="0" distR="0" wp14:anchorId="13D280AF" wp14:editId="27142C94">
            <wp:extent cx="6645910" cy="3288665"/>
            <wp:effectExtent l="0" t="0" r="2540" b="6985"/>
            <wp:docPr id="13" name="Imagem 1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 Gráfico de barras&#10;&#10;Descrição gerada automaticamente"/>
                    <pic:cNvPicPr/>
                  </pic:nvPicPr>
                  <pic:blipFill>
                    <a:blip r:embed="rId29"/>
                    <a:stretch>
                      <a:fillRect/>
                    </a:stretch>
                  </pic:blipFill>
                  <pic:spPr>
                    <a:xfrm>
                      <a:off x="0" y="0"/>
                      <a:ext cx="6645910" cy="3288665"/>
                    </a:xfrm>
                    <a:prstGeom prst="rect">
                      <a:avLst/>
                    </a:prstGeom>
                  </pic:spPr>
                </pic:pic>
              </a:graphicData>
            </a:graphic>
          </wp:inline>
        </w:drawing>
      </w:r>
    </w:p>
    <w:p w14:paraId="109C0A19" w14:textId="550F036F" w:rsidR="00CB7C46" w:rsidRDefault="00CB7C46">
      <w:r w:rsidRPr="00CB7C46">
        <w:lastRenderedPageBreak/>
        <w:drawing>
          <wp:inline distT="0" distB="0" distL="0" distR="0" wp14:anchorId="488CF14E" wp14:editId="2FFB4190">
            <wp:extent cx="6645910" cy="3581400"/>
            <wp:effectExtent l="0" t="0" r="2540" b="0"/>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0"/>
                    <a:stretch>
                      <a:fillRect/>
                    </a:stretch>
                  </pic:blipFill>
                  <pic:spPr>
                    <a:xfrm>
                      <a:off x="0" y="0"/>
                      <a:ext cx="6645910" cy="3581400"/>
                    </a:xfrm>
                    <a:prstGeom prst="rect">
                      <a:avLst/>
                    </a:prstGeom>
                  </pic:spPr>
                </pic:pic>
              </a:graphicData>
            </a:graphic>
          </wp:inline>
        </w:drawing>
      </w:r>
    </w:p>
    <w:p w14:paraId="6B0328DB"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Business performance benchmarker</w:t>
      </w:r>
    </w:p>
    <w:p w14:paraId="73434F6B"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Go to the </w:t>
      </w:r>
      <w:hyperlink r:id="rId31" w:history="1">
        <w:r w:rsidRPr="00CB7C46">
          <w:rPr>
            <w:rFonts w:ascii="Arial" w:eastAsia="Times New Roman" w:hAnsi="Arial" w:cs="Arial"/>
            <w:color w:val="005EA5"/>
            <w:sz w:val="29"/>
            <w:szCs w:val="29"/>
            <w:u w:val="single"/>
            <w:lang w:eastAsia="pt-BR"/>
          </w:rPr>
          <w:t>business performance benchmarker</w:t>
        </w:r>
      </w:hyperlink>
      <w:r w:rsidRPr="00CB7C46">
        <w:rPr>
          <w:rFonts w:ascii="Arial" w:eastAsia="Times New Roman" w:hAnsi="Arial" w:cs="Arial"/>
          <w:color w:val="0B0C0C"/>
          <w:sz w:val="29"/>
          <w:szCs w:val="29"/>
          <w:lang w:eastAsia="pt-BR"/>
        </w:rPr>
        <w:t> page to find key financial performance and benchmark statistics for business planning, or to compare your business against similar businesses.</w:t>
      </w:r>
    </w:p>
    <w:p w14:paraId="784AB16E"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Financial information for over 480 industries and financial ratio benchmarks for over 200 industries are now available.</w:t>
      </w:r>
    </w:p>
    <w:p w14:paraId="6485C903"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Revisions</w:t>
      </w:r>
    </w:p>
    <w:p w14:paraId="7B7D6243"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We revised the following series in the two CSV files under download data:</w:t>
      </w:r>
    </w:p>
    <w:p w14:paraId="142F8CF1" w14:textId="77777777" w:rsidR="00CB7C46" w:rsidRPr="00CB7C46" w:rsidRDefault="00CB7C46" w:rsidP="00CB7C46">
      <w:pPr>
        <w:numPr>
          <w:ilvl w:val="0"/>
          <w:numId w:val="14"/>
        </w:numPr>
        <w:shd w:val="clear" w:color="auto" w:fill="FFFFFF"/>
        <w:spacing w:after="100" w:afterAutospacing="1" w:line="240" w:lineRule="auto"/>
        <w:ind w:left="495"/>
        <w:rPr>
          <w:rFonts w:ascii="Arial" w:eastAsia="Times New Roman" w:hAnsi="Arial" w:cs="Arial"/>
          <w:color w:val="0B0C0C"/>
          <w:sz w:val="29"/>
          <w:szCs w:val="29"/>
          <w:lang w:eastAsia="pt-BR"/>
        </w:rPr>
      </w:pPr>
      <w:r w:rsidRPr="00CB7C46">
        <w:rPr>
          <w:rFonts w:ascii="Arial" w:eastAsia="Times New Roman" w:hAnsi="Arial" w:cs="Arial"/>
          <w:color w:val="0B0C0C"/>
          <w:sz w:val="29"/>
          <w:szCs w:val="29"/>
          <w:lang w:eastAsia="pt-BR"/>
        </w:rPr>
        <w:t>2019 and 2020 financial years, previously published as provisional.</w:t>
      </w:r>
    </w:p>
    <w:p w14:paraId="7F3EC2E7" w14:textId="77777777" w:rsidR="00CB7C46" w:rsidRPr="00CB7C46" w:rsidRDefault="00CB7C46" w:rsidP="00CB7C46">
      <w:pPr>
        <w:shd w:val="clear" w:color="auto" w:fill="FFFFFF"/>
        <w:spacing w:after="100" w:afterAutospacing="1" w:line="240" w:lineRule="auto"/>
        <w:outlineLvl w:val="1"/>
        <w:rPr>
          <w:rFonts w:ascii="Arial" w:eastAsia="Times New Roman" w:hAnsi="Arial" w:cs="Arial"/>
          <w:b/>
          <w:bCs/>
          <w:color w:val="0B0C0C"/>
          <w:sz w:val="36"/>
          <w:szCs w:val="36"/>
          <w:lang w:eastAsia="pt-BR"/>
        </w:rPr>
      </w:pPr>
      <w:r w:rsidRPr="00CB7C46">
        <w:rPr>
          <w:rFonts w:ascii="Arial" w:eastAsia="Times New Roman" w:hAnsi="Arial" w:cs="Arial"/>
          <w:b/>
          <w:bCs/>
          <w:color w:val="0B0C0C"/>
          <w:sz w:val="36"/>
          <w:szCs w:val="36"/>
          <w:lang w:eastAsia="pt-BR"/>
        </w:rPr>
        <w:t>Definitions and metadata</w:t>
      </w:r>
    </w:p>
    <w:p w14:paraId="25C81174"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32" w:history="1">
        <w:r w:rsidRPr="00CB7C46">
          <w:rPr>
            <w:rFonts w:ascii="Arial" w:eastAsia="Times New Roman" w:hAnsi="Arial" w:cs="Arial"/>
            <w:color w:val="005EA5"/>
            <w:sz w:val="29"/>
            <w:szCs w:val="29"/>
            <w:u w:val="single"/>
            <w:lang w:eastAsia="pt-BR"/>
          </w:rPr>
          <w:t>Annual enterprise survey 2021 – Datainfo+</w:t>
        </w:r>
      </w:hyperlink>
      <w:r w:rsidRPr="00CB7C46">
        <w:rPr>
          <w:rFonts w:ascii="Arial" w:eastAsia="Times New Roman" w:hAnsi="Arial" w:cs="Arial"/>
          <w:color w:val="0B0C0C"/>
          <w:sz w:val="29"/>
          <w:szCs w:val="29"/>
          <w:lang w:eastAsia="pt-BR"/>
        </w:rPr>
        <w:t> gives information specific to this year’s survey, such as population, and the methodology and questionnaires used.</w:t>
      </w:r>
    </w:p>
    <w:p w14:paraId="07525A99" w14:textId="77777777" w:rsidR="00CB7C46" w:rsidRPr="00CB7C46" w:rsidRDefault="00CB7C46" w:rsidP="00CB7C46">
      <w:pPr>
        <w:shd w:val="clear" w:color="auto" w:fill="FFFFFF"/>
        <w:spacing w:after="100" w:afterAutospacing="1" w:line="240" w:lineRule="auto"/>
        <w:rPr>
          <w:rFonts w:ascii="Arial" w:eastAsia="Times New Roman" w:hAnsi="Arial" w:cs="Arial"/>
          <w:color w:val="0B0C0C"/>
          <w:sz w:val="29"/>
          <w:szCs w:val="29"/>
          <w:lang w:eastAsia="pt-BR"/>
        </w:rPr>
      </w:pPr>
      <w:hyperlink r:id="rId33" w:history="1">
        <w:r w:rsidRPr="00CB7C46">
          <w:rPr>
            <w:rFonts w:ascii="Arial" w:eastAsia="Times New Roman" w:hAnsi="Arial" w:cs="Arial"/>
            <w:color w:val="005EA5"/>
            <w:sz w:val="29"/>
            <w:szCs w:val="29"/>
            <w:u w:val="single"/>
            <w:lang w:eastAsia="pt-BR"/>
          </w:rPr>
          <w:t>Annual enterprise survey – Datainfo+</w:t>
        </w:r>
      </w:hyperlink>
      <w:r w:rsidRPr="00CB7C46">
        <w:rPr>
          <w:rFonts w:ascii="Arial" w:eastAsia="Times New Roman" w:hAnsi="Arial" w:cs="Arial"/>
          <w:color w:val="0B0C0C"/>
          <w:sz w:val="29"/>
          <w:szCs w:val="29"/>
          <w:lang w:eastAsia="pt-BR"/>
        </w:rPr>
        <w:t>  gives information such as the general methodology used to produce the annual enterprise survey, how to interpret the data, data limitations, and survey definitions.</w:t>
      </w:r>
    </w:p>
    <w:p w14:paraId="3C039629" w14:textId="77777777" w:rsidR="00CB7C46" w:rsidRDefault="00CB7C46"/>
    <w:sectPr w:rsidR="00CB7C46" w:rsidSect="00CB7C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406"/>
    <w:multiLevelType w:val="multilevel"/>
    <w:tmpl w:val="144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16B1F"/>
    <w:multiLevelType w:val="multilevel"/>
    <w:tmpl w:val="C9C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B0652"/>
    <w:multiLevelType w:val="multilevel"/>
    <w:tmpl w:val="51E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E1BFC"/>
    <w:multiLevelType w:val="multilevel"/>
    <w:tmpl w:val="B21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931A7"/>
    <w:multiLevelType w:val="multilevel"/>
    <w:tmpl w:val="425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1724E"/>
    <w:multiLevelType w:val="multilevel"/>
    <w:tmpl w:val="CA5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92EB7"/>
    <w:multiLevelType w:val="multilevel"/>
    <w:tmpl w:val="AF3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A79A6"/>
    <w:multiLevelType w:val="multilevel"/>
    <w:tmpl w:val="355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6196C"/>
    <w:multiLevelType w:val="multilevel"/>
    <w:tmpl w:val="F4E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1B6EBD"/>
    <w:multiLevelType w:val="multilevel"/>
    <w:tmpl w:val="17D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60DB6"/>
    <w:multiLevelType w:val="multilevel"/>
    <w:tmpl w:val="7B0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343F2"/>
    <w:multiLevelType w:val="multilevel"/>
    <w:tmpl w:val="BB6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F6592"/>
    <w:multiLevelType w:val="multilevel"/>
    <w:tmpl w:val="DB8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093308"/>
    <w:multiLevelType w:val="multilevel"/>
    <w:tmpl w:val="C96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755467">
    <w:abstractNumId w:val="6"/>
  </w:num>
  <w:num w:numId="2" w16cid:durableId="1702708292">
    <w:abstractNumId w:val="1"/>
  </w:num>
  <w:num w:numId="3" w16cid:durableId="423385327">
    <w:abstractNumId w:val="11"/>
  </w:num>
  <w:num w:numId="4" w16cid:durableId="256594494">
    <w:abstractNumId w:val="12"/>
  </w:num>
  <w:num w:numId="5" w16cid:durableId="1728989001">
    <w:abstractNumId w:val="5"/>
  </w:num>
  <w:num w:numId="6" w16cid:durableId="180970761">
    <w:abstractNumId w:val="3"/>
  </w:num>
  <w:num w:numId="7" w16cid:durableId="1401632786">
    <w:abstractNumId w:val="0"/>
  </w:num>
  <w:num w:numId="8" w16cid:durableId="969818263">
    <w:abstractNumId w:val="10"/>
  </w:num>
  <w:num w:numId="9" w16cid:durableId="359665269">
    <w:abstractNumId w:val="9"/>
  </w:num>
  <w:num w:numId="10" w16cid:durableId="1412965737">
    <w:abstractNumId w:val="8"/>
  </w:num>
  <w:num w:numId="11" w16cid:durableId="575555754">
    <w:abstractNumId w:val="2"/>
  </w:num>
  <w:num w:numId="12" w16cid:durableId="1869758687">
    <w:abstractNumId w:val="7"/>
  </w:num>
  <w:num w:numId="13" w16cid:durableId="1527520675">
    <w:abstractNumId w:val="13"/>
  </w:num>
  <w:num w:numId="14" w16cid:durableId="44988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46"/>
    <w:rsid w:val="0000772F"/>
    <w:rsid w:val="00031A00"/>
    <w:rsid w:val="000B65D1"/>
    <w:rsid w:val="001B4147"/>
    <w:rsid w:val="002A7583"/>
    <w:rsid w:val="0030743E"/>
    <w:rsid w:val="006865A6"/>
    <w:rsid w:val="00772EED"/>
    <w:rsid w:val="008258D9"/>
    <w:rsid w:val="008C6991"/>
    <w:rsid w:val="00AC0372"/>
    <w:rsid w:val="00C849DB"/>
    <w:rsid w:val="00CB7C46"/>
    <w:rsid w:val="00D400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771E"/>
  <w15:chartTrackingRefBased/>
  <w15:docId w15:val="{6D223CA2-5315-4DE8-88B8-A62F5068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B7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B7C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B7C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7C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B7C4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B7C46"/>
    <w:rPr>
      <w:rFonts w:ascii="Times New Roman" w:eastAsia="Times New Roman" w:hAnsi="Times New Roman" w:cs="Times New Roman"/>
      <w:b/>
      <w:bCs/>
      <w:sz w:val="27"/>
      <w:szCs w:val="27"/>
      <w:lang w:eastAsia="pt-BR"/>
    </w:rPr>
  </w:style>
  <w:style w:type="paragraph" w:customStyle="1" w:styleId="date">
    <w:name w:val="date"/>
    <w:basedOn w:val="Normal"/>
    <w:rsid w:val="00CB7C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7C46"/>
    <w:rPr>
      <w:color w:val="0000FF"/>
      <w:u w:val="single"/>
    </w:rPr>
  </w:style>
  <w:style w:type="character" w:customStyle="1" w:styleId="u-sr-only">
    <w:name w:val="u-sr-only"/>
    <w:basedOn w:val="Fontepargpadro"/>
    <w:rsid w:val="00CB7C46"/>
  </w:style>
  <w:style w:type="paragraph" w:styleId="NormalWeb">
    <w:name w:val="Normal (Web)"/>
    <w:basedOn w:val="Normal"/>
    <w:uiPriority w:val="99"/>
    <w:semiHidden/>
    <w:unhideWhenUsed/>
    <w:rsid w:val="00CB7C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ntro">
    <w:name w:val="intro"/>
    <w:basedOn w:val="Fontepargpadro"/>
    <w:rsid w:val="00CB7C46"/>
  </w:style>
  <w:style w:type="paragraph" w:customStyle="1" w:styleId="block-documentlist-item">
    <w:name w:val="block-document__list-item"/>
    <w:basedOn w:val="Normal"/>
    <w:rsid w:val="00CB7C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block-documentspecs">
    <w:name w:val="block-document__specs"/>
    <w:basedOn w:val="Normal"/>
    <w:rsid w:val="00CB7C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
    <w:name w:val="tab"/>
    <w:basedOn w:val="Normal"/>
    <w:rsid w:val="00CB7C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99579">
      <w:bodyDiv w:val="1"/>
      <w:marLeft w:val="0"/>
      <w:marRight w:val="0"/>
      <w:marTop w:val="0"/>
      <w:marBottom w:val="0"/>
      <w:divBdr>
        <w:top w:val="none" w:sz="0" w:space="0" w:color="auto"/>
        <w:left w:val="none" w:sz="0" w:space="0" w:color="auto"/>
        <w:bottom w:val="none" w:sz="0" w:space="0" w:color="auto"/>
        <w:right w:val="none" w:sz="0" w:space="0" w:color="auto"/>
      </w:divBdr>
      <w:divsChild>
        <w:div w:id="647975879">
          <w:marLeft w:val="0"/>
          <w:marRight w:val="0"/>
          <w:marTop w:val="0"/>
          <w:marBottom w:val="0"/>
          <w:divBdr>
            <w:top w:val="none" w:sz="0" w:space="0" w:color="auto"/>
            <w:left w:val="none" w:sz="0" w:space="0" w:color="auto"/>
            <w:bottom w:val="none" w:sz="0" w:space="0" w:color="auto"/>
            <w:right w:val="none" w:sz="0" w:space="0" w:color="auto"/>
          </w:divBdr>
          <w:divsChild>
            <w:div w:id="1324360190">
              <w:marLeft w:val="-225"/>
              <w:marRight w:val="-225"/>
              <w:marTop w:val="0"/>
              <w:marBottom w:val="0"/>
              <w:divBdr>
                <w:top w:val="none" w:sz="0" w:space="0" w:color="auto"/>
                <w:left w:val="none" w:sz="0" w:space="0" w:color="auto"/>
                <w:bottom w:val="none" w:sz="0" w:space="0" w:color="auto"/>
                <w:right w:val="none" w:sz="0" w:space="0" w:color="auto"/>
              </w:divBdr>
              <w:divsChild>
                <w:div w:id="1772621427">
                  <w:marLeft w:val="0"/>
                  <w:marRight w:val="0"/>
                  <w:marTop w:val="0"/>
                  <w:marBottom w:val="0"/>
                  <w:divBdr>
                    <w:top w:val="none" w:sz="0" w:space="0" w:color="auto"/>
                    <w:left w:val="none" w:sz="0" w:space="0" w:color="auto"/>
                    <w:bottom w:val="none" w:sz="0" w:space="0" w:color="auto"/>
                    <w:right w:val="none" w:sz="0" w:space="0" w:color="auto"/>
                  </w:divBdr>
                  <w:divsChild>
                    <w:div w:id="4197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2394">
          <w:marLeft w:val="0"/>
          <w:marRight w:val="0"/>
          <w:marTop w:val="0"/>
          <w:marBottom w:val="0"/>
          <w:divBdr>
            <w:top w:val="none" w:sz="0" w:space="0" w:color="auto"/>
            <w:left w:val="none" w:sz="0" w:space="0" w:color="auto"/>
            <w:bottom w:val="none" w:sz="0" w:space="0" w:color="auto"/>
            <w:right w:val="none" w:sz="0" w:space="0" w:color="auto"/>
          </w:divBdr>
          <w:divsChild>
            <w:div w:id="705563105">
              <w:marLeft w:val="-225"/>
              <w:marRight w:val="-225"/>
              <w:marTop w:val="0"/>
              <w:marBottom w:val="0"/>
              <w:divBdr>
                <w:top w:val="none" w:sz="0" w:space="0" w:color="auto"/>
                <w:left w:val="none" w:sz="0" w:space="0" w:color="auto"/>
                <w:bottom w:val="none" w:sz="0" w:space="0" w:color="auto"/>
                <w:right w:val="none" w:sz="0" w:space="0" w:color="auto"/>
              </w:divBdr>
              <w:divsChild>
                <w:div w:id="69741916">
                  <w:marLeft w:val="0"/>
                  <w:marRight w:val="0"/>
                  <w:marTop w:val="0"/>
                  <w:marBottom w:val="0"/>
                  <w:divBdr>
                    <w:top w:val="none" w:sz="0" w:space="0" w:color="auto"/>
                    <w:left w:val="none" w:sz="0" w:space="0" w:color="auto"/>
                    <w:bottom w:val="none" w:sz="0" w:space="0" w:color="auto"/>
                    <w:right w:val="none" w:sz="0" w:space="0" w:color="auto"/>
                  </w:divBdr>
                  <w:divsChild>
                    <w:div w:id="6556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96277">
      <w:bodyDiv w:val="1"/>
      <w:marLeft w:val="0"/>
      <w:marRight w:val="0"/>
      <w:marTop w:val="0"/>
      <w:marBottom w:val="0"/>
      <w:divBdr>
        <w:top w:val="none" w:sz="0" w:space="0" w:color="auto"/>
        <w:left w:val="none" w:sz="0" w:space="0" w:color="auto"/>
        <w:bottom w:val="none" w:sz="0" w:space="0" w:color="auto"/>
        <w:right w:val="none" w:sz="0" w:space="0" w:color="auto"/>
      </w:divBdr>
      <w:divsChild>
        <w:div w:id="411782948">
          <w:marLeft w:val="0"/>
          <w:marRight w:val="0"/>
          <w:marTop w:val="0"/>
          <w:marBottom w:val="0"/>
          <w:divBdr>
            <w:top w:val="none" w:sz="0" w:space="0" w:color="auto"/>
            <w:left w:val="none" w:sz="0" w:space="0" w:color="auto"/>
            <w:bottom w:val="none" w:sz="0" w:space="0" w:color="auto"/>
            <w:right w:val="none" w:sz="0" w:space="0" w:color="auto"/>
          </w:divBdr>
        </w:div>
        <w:div w:id="1460958416">
          <w:marLeft w:val="0"/>
          <w:marRight w:val="0"/>
          <w:marTop w:val="225"/>
          <w:marBottom w:val="0"/>
          <w:divBdr>
            <w:top w:val="none" w:sz="0" w:space="0" w:color="auto"/>
            <w:left w:val="none" w:sz="0" w:space="0" w:color="auto"/>
            <w:bottom w:val="none" w:sz="0" w:space="0" w:color="auto"/>
            <w:right w:val="none" w:sz="0" w:space="0" w:color="auto"/>
          </w:divBdr>
          <w:divsChild>
            <w:div w:id="950358149">
              <w:marLeft w:val="0"/>
              <w:marRight w:val="105"/>
              <w:marTop w:val="0"/>
              <w:marBottom w:val="0"/>
              <w:divBdr>
                <w:top w:val="none" w:sz="0" w:space="0" w:color="auto"/>
                <w:left w:val="none" w:sz="0" w:space="0" w:color="auto"/>
                <w:bottom w:val="none" w:sz="0" w:space="0" w:color="auto"/>
                <w:right w:val="none" w:sz="0" w:space="0" w:color="auto"/>
              </w:divBdr>
            </w:div>
            <w:div w:id="286594630">
              <w:marLeft w:val="0"/>
              <w:marRight w:val="105"/>
              <w:marTop w:val="0"/>
              <w:marBottom w:val="0"/>
              <w:divBdr>
                <w:top w:val="none" w:sz="0" w:space="0" w:color="auto"/>
                <w:left w:val="none" w:sz="0" w:space="0" w:color="auto"/>
                <w:bottom w:val="none" w:sz="0" w:space="0" w:color="auto"/>
                <w:right w:val="none" w:sz="0" w:space="0" w:color="auto"/>
              </w:divBdr>
            </w:div>
            <w:div w:id="2040424534">
              <w:marLeft w:val="0"/>
              <w:marRight w:val="105"/>
              <w:marTop w:val="0"/>
              <w:marBottom w:val="0"/>
              <w:divBdr>
                <w:top w:val="none" w:sz="0" w:space="0" w:color="auto"/>
                <w:left w:val="none" w:sz="0" w:space="0" w:color="auto"/>
                <w:bottom w:val="none" w:sz="0" w:space="0" w:color="auto"/>
                <w:right w:val="none" w:sz="0" w:space="0" w:color="auto"/>
              </w:divBdr>
            </w:div>
          </w:divsChild>
        </w:div>
        <w:div w:id="924385501">
          <w:marLeft w:val="-225"/>
          <w:marRight w:val="-225"/>
          <w:marTop w:val="0"/>
          <w:marBottom w:val="0"/>
          <w:divBdr>
            <w:top w:val="none" w:sz="0" w:space="0" w:color="auto"/>
            <w:left w:val="none" w:sz="0" w:space="0" w:color="auto"/>
            <w:bottom w:val="none" w:sz="0" w:space="0" w:color="auto"/>
            <w:right w:val="none" w:sz="0" w:space="0" w:color="auto"/>
          </w:divBdr>
          <w:divsChild>
            <w:div w:id="834878927">
              <w:marLeft w:val="0"/>
              <w:marRight w:val="0"/>
              <w:marTop w:val="0"/>
              <w:marBottom w:val="0"/>
              <w:divBdr>
                <w:top w:val="none" w:sz="0" w:space="0" w:color="auto"/>
                <w:left w:val="none" w:sz="0" w:space="0" w:color="auto"/>
                <w:bottom w:val="none" w:sz="0" w:space="0" w:color="auto"/>
                <w:right w:val="none" w:sz="0" w:space="0" w:color="auto"/>
              </w:divBdr>
              <w:divsChild>
                <w:div w:id="2033411414">
                  <w:marLeft w:val="-225"/>
                  <w:marRight w:val="-225"/>
                  <w:marTop w:val="0"/>
                  <w:marBottom w:val="0"/>
                  <w:divBdr>
                    <w:top w:val="none" w:sz="0" w:space="0" w:color="auto"/>
                    <w:left w:val="none" w:sz="0" w:space="0" w:color="auto"/>
                    <w:bottom w:val="none" w:sz="0" w:space="0" w:color="auto"/>
                    <w:right w:val="none" w:sz="0" w:space="0" w:color="auto"/>
                  </w:divBdr>
                  <w:divsChild>
                    <w:div w:id="568611322">
                      <w:marLeft w:val="0"/>
                      <w:marRight w:val="0"/>
                      <w:marTop w:val="0"/>
                      <w:marBottom w:val="0"/>
                      <w:divBdr>
                        <w:top w:val="none" w:sz="0" w:space="0" w:color="auto"/>
                        <w:left w:val="none" w:sz="0" w:space="0" w:color="auto"/>
                        <w:bottom w:val="none" w:sz="0" w:space="0" w:color="auto"/>
                        <w:right w:val="none" w:sz="0" w:space="0" w:color="auto"/>
                      </w:divBdr>
                      <w:divsChild>
                        <w:div w:id="18879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6294">
              <w:marLeft w:val="0"/>
              <w:marRight w:val="0"/>
              <w:marTop w:val="0"/>
              <w:marBottom w:val="0"/>
              <w:divBdr>
                <w:top w:val="none" w:sz="0" w:space="0" w:color="auto"/>
                <w:left w:val="none" w:sz="0" w:space="0" w:color="auto"/>
                <w:bottom w:val="none" w:sz="0" w:space="0" w:color="auto"/>
                <w:right w:val="none" w:sz="0" w:space="0" w:color="auto"/>
              </w:divBdr>
              <w:divsChild>
                <w:div w:id="174543629">
                  <w:marLeft w:val="0"/>
                  <w:marRight w:val="0"/>
                  <w:marTop w:val="0"/>
                  <w:marBottom w:val="450"/>
                  <w:divBdr>
                    <w:top w:val="none" w:sz="0" w:space="0" w:color="auto"/>
                    <w:left w:val="none" w:sz="0" w:space="0" w:color="auto"/>
                    <w:bottom w:val="none" w:sz="0" w:space="0" w:color="auto"/>
                    <w:right w:val="none" w:sz="0" w:space="0" w:color="auto"/>
                  </w:divBdr>
                  <w:divsChild>
                    <w:div w:id="113670990">
                      <w:marLeft w:val="975"/>
                      <w:marRight w:val="0"/>
                      <w:marTop w:val="0"/>
                      <w:marBottom w:val="0"/>
                      <w:divBdr>
                        <w:top w:val="none" w:sz="0" w:space="0" w:color="auto"/>
                        <w:left w:val="none" w:sz="0" w:space="0" w:color="auto"/>
                        <w:bottom w:val="none" w:sz="0" w:space="0" w:color="auto"/>
                        <w:right w:val="none" w:sz="0" w:space="0" w:color="auto"/>
                      </w:divBdr>
                    </w:div>
                  </w:divsChild>
                </w:div>
                <w:div w:id="1866599756">
                  <w:marLeft w:val="0"/>
                  <w:marRight w:val="0"/>
                  <w:marTop w:val="0"/>
                  <w:marBottom w:val="450"/>
                  <w:divBdr>
                    <w:top w:val="none" w:sz="0" w:space="0" w:color="auto"/>
                    <w:left w:val="none" w:sz="0" w:space="0" w:color="auto"/>
                    <w:bottom w:val="none" w:sz="0" w:space="0" w:color="auto"/>
                    <w:right w:val="none" w:sz="0" w:space="0" w:color="auto"/>
                  </w:divBdr>
                  <w:divsChild>
                    <w:div w:id="1156802683">
                      <w:marLeft w:val="975"/>
                      <w:marRight w:val="0"/>
                      <w:marTop w:val="0"/>
                      <w:marBottom w:val="0"/>
                      <w:divBdr>
                        <w:top w:val="none" w:sz="0" w:space="0" w:color="auto"/>
                        <w:left w:val="none" w:sz="0" w:space="0" w:color="auto"/>
                        <w:bottom w:val="none" w:sz="0" w:space="0" w:color="auto"/>
                        <w:right w:val="none" w:sz="0" w:space="0" w:color="auto"/>
                      </w:divBdr>
                    </w:div>
                  </w:divsChild>
                </w:div>
                <w:div w:id="1482841978">
                  <w:marLeft w:val="0"/>
                  <w:marRight w:val="0"/>
                  <w:marTop w:val="0"/>
                  <w:marBottom w:val="450"/>
                  <w:divBdr>
                    <w:top w:val="none" w:sz="0" w:space="0" w:color="auto"/>
                    <w:left w:val="none" w:sz="0" w:space="0" w:color="auto"/>
                    <w:bottom w:val="none" w:sz="0" w:space="0" w:color="auto"/>
                    <w:right w:val="none" w:sz="0" w:space="0" w:color="auto"/>
                  </w:divBdr>
                  <w:divsChild>
                    <w:div w:id="450324229">
                      <w:marLeft w:val="975"/>
                      <w:marRight w:val="0"/>
                      <w:marTop w:val="0"/>
                      <w:marBottom w:val="0"/>
                      <w:divBdr>
                        <w:top w:val="none" w:sz="0" w:space="0" w:color="auto"/>
                        <w:left w:val="none" w:sz="0" w:space="0" w:color="auto"/>
                        <w:bottom w:val="none" w:sz="0" w:space="0" w:color="auto"/>
                        <w:right w:val="none" w:sz="0" w:space="0" w:color="auto"/>
                      </w:divBdr>
                    </w:div>
                  </w:divsChild>
                </w:div>
              </w:divsChild>
            </w:div>
            <w:div w:id="1943099597">
              <w:marLeft w:val="0"/>
              <w:marRight w:val="0"/>
              <w:marTop w:val="0"/>
              <w:marBottom w:val="0"/>
              <w:divBdr>
                <w:top w:val="none" w:sz="0" w:space="0" w:color="auto"/>
                <w:left w:val="none" w:sz="0" w:space="0" w:color="auto"/>
                <w:bottom w:val="none" w:sz="0" w:space="0" w:color="auto"/>
                <w:right w:val="none" w:sz="0" w:space="0" w:color="auto"/>
              </w:divBdr>
              <w:divsChild>
                <w:div w:id="1727684301">
                  <w:marLeft w:val="-225"/>
                  <w:marRight w:val="-225"/>
                  <w:marTop w:val="0"/>
                  <w:marBottom w:val="0"/>
                  <w:divBdr>
                    <w:top w:val="none" w:sz="0" w:space="0" w:color="auto"/>
                    <w:left w:val="none" w:sz="0" w:space="0" w:color="auto"/>
                    <w:bottom w:val="none" w:sz="0" w:space="0" w:color="auto"/>
                    <w:right w:val="none" w:sz="0" w:space="0" w:color="auto"/>
                  </w:divBdr>
                  <w:divsChild>
                    <w:div w:id="427428370">
                      <w:marLeft w:val="0"/>
                      <w:marRight w:val="0"/>
                      <w:marTop w:val="0"/>
                      <w:marBottom w:val="0"/>
                      <w:divBdr>
                        <w:top w:val="none" w:sz="0" w:space="0" w:color="auto"/>
                        <w:left w:val="none" w:sz="0" w:space="0" w:color="auto"/>
                        <w:bottom w:val="none" w:sz="0" w:space="0" w:color="auto"/>
                        <w:right w:val="none" w:sz="0" w:space="0" w:color="auto"/>
                      </w:divBdr>
                      <w:divsChild>
                        <w:div w:id="19605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6056">
              <w:marLeft w:val="0"/>
              <w:marRight w:val="0"/>
              <w:marTop w:val="0"/>
              <w:marBottom w:val="0"/>
              <w:divBdr>
                <w:top w:val="none" w:sz="0" w:space="0" w:color="auto"/>
                <w:left w:val="none" w:sz="0" w:space="0" w:color="auto"/>
                <w:bottom w:val="none" w:sz="0" w:space="0" w:color="auto"/>
                <w:right w:val="none" w:sz="0" w:space="0" w:color="auto"/>
              </w:divBdr>
              <w:divsChild>
                <w:div w:id="144203575">
                  <w:marLeft w:val="0"/>
                  <w:marRight w:val="0"/>
                  <w:marTop w:val="0"/>
                  <w:marBottom w:val="0"/>
                  <w:divBdr>
                    <w:top w:val="none" w:sz="0" w:space="0" w:color="auto"/>
                    <w:left w:val="none" w:sz="0" w:space="0" w:color="auto"/>
                    <w:bottom w:val="none" w:sz="0" w:space="0" w:color="auto"/>
                    <w:right w:val="none" w:sz="0" w:space="0" w:color="auto"/>
                  </w:divBdr>
                  <w:divsChild>
                    <w:div w:id="2031101378">
                      <w:marLeft w:val="0"/>
                      <w:marRight w:val="0"/>
                      <w:marTop w:val="0"/>
                      <w:marBottom w:val="0"/>
                      <w:divBdr>
                        <w:top w:val="none" w:sz="0" w:space="0" w:color="auto"/>
                        <w:left w:val="none" w:sz="0" w:space="0" w:color="auto"/>
                        <w:bottom w:val="none" w:sz="0" w:space="0" w:color="auto"/>
                        <w:right w:val="none" w:sz="0" w:space="0" w:color="auto"/>
                      </w:divBdr>
                      <w:divsChild>
                        <w:div w:id="321007245">
                          <w:marLeft w:val="0"/>
                          <w:marRight w:val="0"/>
                          <w:marTop w:val="0"/>
                          <w:marBottom w:val="0"/>
                          <w:divBdr>
                            <w:top w:val="none" w:sz="0" w:space="0" w:color="auto"/>
                            <w:left w:val="none" w:sz="0" w:space="0" w:color="auto"/>
                            <w:bottom w:val="none" w:sz="0" w:space="0" w:color="auto"/>
                            <w:right w:val="none" w:sz="0" w:space="0" w:color="auto"/>
                          </w:divBdr>
                          <w:divsChild>
                            <w:div w:id="718746851">
                              <w:marLeft w:val="0"/>
                              <w:marRight w:val="0"/>
                              <w:marTop w:val="0"/>
                              <w:marBottom w:val="0"/>
                              <w:divBdr>
                                <w:top w:val="none" w:sz="0" w:space="0" w:color="auto"/>
                                <w:left w:val="none" w:sz="0" w:space="0" w:color="auto"/>
                                <w:bottom w:val="none" w:sz="0" w:space="0" w:color="auto"/>
                                <w:right w:val="none" w:sz="0" w:space="0" w:color="auto"/>
                              </w:divBdr>
                              <w:divsChild>
                                <w:div w:id="1923877959">
                                  <w:marLeft w:val="0"/>
                                  <w:marRight w:val="0"/>
                                  <w:marTop w:val="0"/>
                                  <w:marBottom w:val="0"/>
                                  <w:divBdr>
                                    <w:top w:val="none" w:sz="0" w:space="0" w:color="auto"/>
                                    <w:left w:val="none" w:sz="0" w:space="0" w:color="auto"/>
                                    <w:bottom w:val="none" w:sz="0" w:space="0" w:color="auto"/>
                                    <w:right w:val="none" w:sz="0" w:space="0" w:color="auto"/>
                                  </w:divBdr>
                                </w:div>
                                <w:div w:id="2938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97966">
              <w:marLeft w:val="0"/>
              <w:marRight w:val="0"/>
              <w:marTop w:val="0"/>
              <w:marBottom w:val="0"/>
              <w:divBdr>
                <w:top w:val="none" w:sz="0" w:space="0" w:color="auto"/>
                <w:left w:val="none" w:sz="0" w:space="0" w:color="auto"/>
                <w:bottom w:val="none" w:sz="0" w:space="0" w:color="auto"/>
                <w:right w:val="none" w:sz="0" w:space="0" w:color="auto"/>
              </w:divBdr>
              <w:divsChild>
                <w:div w:id="670648120">
                  <w:marLeft w:val="-225"/>
                  <w:marRight w:val="-225"/>
                  <w:marTop w:val="0"/>
                  <w:marBottom w:val="0"/>
                  <w:divBdr>
                    <w:top w:val="none" w:sz="0" w:space="0" w:color="auto"/>
                    <w:left w:val="none" w:sz="0" w:space="0" w:color="auto"/>
                    <w:bottom w:val="none" w:sz="0" w:space="0" w:color="auto"/>
                    <w:right w:val="none" w:sz="0" w:space="0" w:color="auto"/>
                  </w:divBdr>
                  <w:divsChild>
                    <w:div w:id="731003022">
                      <w:marLeft w:val="0"/>
                      <w:marRight w:val="0"/>
                      <w:marTop w:val="0"/>
                      <w:marBottom w:val="0"/>
                      <w:divBdr>
                        <w:top w:val="none" w:sz="0" w:space="0" w:color="auto"/>
                        <w:left w:val="none" w:sz="0" w:space="0" w:color="auto"/>
                        <w:bottom w:val="none" w:sz="0" w:space="0" w:color="auto"/>
                        <w:right w:val="none" w:sz="0" w:space="0" w:color="auto"/>
                      </w:divBdr>
                      <w:divsChild>
                        <w:div w:id="136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928">
              <w:marLeft w:val="0"/>
              <w:marRight w:val="0"/>
              <w:marTop w:val="0"/>
              <w:marBottom w:val="0"/>
              <w:divBdr>
                <w:top w:val="none" w:sz="0" w:space="0" w:color="auto"/>
                <w:left w:val="none" w:sz="0" w:space="0" w:color="auto"/>
                <w:bottom w:val="none" w:sz="0" w:space="0" w:color="auto"/>
                <w:right w:val="none" w:sz="0" w:space="0" w:color="auto"/>
              </w:divBdr>
              <w:divsChild>
                <w:div w:id="1242788224">
                  <w:marLeft w:val="-225"/>
                  <w:marRight w:val="-225"/>
                  <w:marTop w:val="0"/>
                  <w:marBottom w:val="0"/>
                  <w:divBdr>
                    <w:top w:val="none" w:sz="0" w:space="0" w:color="auto"/>
                    <w:left w:val="none" w:sz="0" w:space="0" w:color="auto"/>
                    <w:bottom w:val="none" w:sz="0" w:space="0" w:color="auto"/>
                    <w:right w:val="none" w:sz="0" w:space="0" w:color="auto"/>
                  </w:divBdr>
                  <w:divsChild>
                    <w:div w:id="2018001506">
                      <w:marLeft w:val="0"/>
                      <w:marRight w:val="0"/>
                      <w:marTop w:val="0"/>
                      <w:marBottom w:val="0"/>
                      <w:divBdr>
                        <w:top w:val="none" w:sz="0" w:space="0" w:color="auto"/>
                        <w:left w:val="none" w:sz="0" w:space="0" w:color="auto"/>
                        <w:bottom w:val="none" w:sz="0" w:space="0" w:color="auto"/>
                        <w:right w:val="none" w:sz="0" w:space="0" w:color="auto"/>
                      </w:divBdr>
                      <w:divsChild>
                        <w:div w:id="6263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3816">
      <w:bodyDiv w:val="1"/>
      <w:marLeft w:val="0"/>
      <w:marRight w:val="0"/>
      <w:marTop w:val="0"/>
      <w:marBottom w:val="0"/>
      <w:divBdr>
        <w:top w:val="none" w:sz="0" w:space="0" w:color="auto"/>
        <w:left w:val="none" w:sz="0" w:space="0" w:color="auto"/>
        <w:bottom w:val="none" w:sz="0" w:space="0" w:color="auto"/>
        <w:right w:val="none" w:sz="0" w:space="0" w:color="auto"/>
      </w:divBdr>
      <w:divsChild>
        <w:div w:id="616184981">
          <w:marLeft w:val="0"/>
          <w:marRight w:val="0"/>
          <w:marTop w:val="0"/>
          <w:marBottom w:val="0"/>
          <w:divBdr>
            <w:top w:val="none" w:sz="0" w:space="0" w:color="auto"/>
            <w:left w:val="none" w:sz="0" w:space="0" w:color="auto"/>
            <w:bottom w:val="none" w:sz="0" w:space="0" w:color="auto"/>
            <w:right w:val="none" w:sz="0" w:space="0" w:color="auto"/>
          </w:divBdr>
        </w:div>
        <w:div w:id="317390885">
          <w:marLeft w:val="0"/>
          <w:marRight w:val="0"/>
          <w:marTop w:val="225"/>
          <w:marBottom w:val="0"/>
          <w:divBdr>
            <w:top w:val="none" w:sz="0" w:space="0" w:color="auto"/>
            <w:left w:val="none" w:sz="0" w:space="0" w:color="auto"/>
            <w:bottom w:val="none" w:sz="0" w:space="0" w:color="auto"/>
            <w:right w:val="none" w:sz="0" w:space="0" w:color="auto"/>
          </w:divBdr>
          <w:divsChild>
            <w:div w:id="838541490">
              <w:marLeft w:val="0"/>
              <w:marRight w:val="105"/>
              <w:marTop w:val="0"/>
              <w:marBottom w:val="0"/>
              <w:divBdr>
                <w:top w:val="none" w:sz="0" w:space="0" w:color="auto"/>
                <w:left w:val="none" w:sz="0" w:space="0" w:color="auto"/>
                <w:bottom w:val="none" w:sz="0" w:space="0" w:color="auto"/>
                <w:right w:val="none" w:sz="0" w:space="0" w:color="auto"/>
              </w:divBdr>
            </w:div>
            <w:div w:id="1399788904">
              <w:marLeft w:val="0"/>
              <w:marRight w:val="105"/>
              <w:marTop w:val="0"/>
              <w:marBottom w:val="0"/>
              <w:divBdr>
                <w:top w:val="none" w:sz="0" w:space="0" w:color="auto"/>
                <w:left w:val="none" w:sz="0" w:space="0" w:color="auto"/>
                <w:bottom w:val="none" w:sz="0" w:space="0" w:color="auto"/>
                <w:right w:val="none" w:sz="0" w:space="0" w:color="auto"/>
              </w:divBdr>
            </w:div>
            <w:div w:id="1308245604">
              <w:marLeft w:val="0"/>
              <w:marRight w:val="105"/>
              <w:marTop w:val="0"/>
              <w:marBottom w:val="0"/>
              <w:divBdr>
                <w:top w:val="none" w:sz="0" w:space="0" w:color="auto"/>
                <w:left w:val="none" w:sz="0" w:space="0" w:color="auto"/>
                <w:bottom w:val="none" w:sz="0" w:space="0" w:color="auto"/>
                <w:right w:val="none" w:sz="0" w:space="0" w:color="auto"/>
              </w:divBdr>
            </w:div>
          </w:divsChild>
        </w:div>
        <w:div w:id="868952128">
          <w:marLeft w:val="-225"/>
          <w:marRight w:val="-225"/>
          <w:marTop w:val="0"/>
          <w:marBottom w:val="0"/>
          <w:divBdr>
            <w:top w:val="none" w:sz="0" w:space="0" w:color="auto"/>
            <w:left w:val="none" w:sz="0" w:space="0" w:color="auto"/>
            <w:bottom w:val="none" w:sz="0" w:space="0" w:color="auto"/>
            <w:right w:val="none" w:sz="0" w:space="0" w:color="auto"/>
          </w:divBdr>
          <w:divsChild>
            <w:div w:id="919872680">
              <w:marLeft w:val="0"/>
              <w:marRight w:val="0"/>
              <w:marTop w:val="0"/>
              <w:marBottom w:val="0"/>
              <w:divBdr>
                <w:top w:val="none" w:sz="0" w:space="0" w:color="auto"/>
                <w:left w:val="none" w:sz="0" w:space="0" w:color="auto"/>
                <w:bottom w:val="none" w:sz="0" w:space="0" w:color="auto"/>
                <w:right w:val="none" w:sz="0" w:space="0" w:color="auto"/>
              </w:divBdr>
              <w:divsChild>
                <w:div w:id="820660861">
                  <w:marLeft w:val="-225"/>
                  <w:marRight w:val="-225"/>
                  <w:marTop w:val="0"/>
                  <w:marBottom w:val="0"/>
                  <w:divBdr>
                    <w:top w:val="none" w:sz="0" w:space="0" w:color="auto"/>
                    <w:left w:val="none" w:sz="0" w:space="0" w:color="auto"/>
                    <w:bottom w:val="none" w:sz="0" w:space="0" w:color="auto"/>
                    <w:right w:val="none" w:sz="0" w:space="0" w:color="auto"/>
                  </w:divBdr>
                  <w:divsChild>
                    <w:div w:id="1747876003">
                      <w:marLeft w:val="0"/>
                      <w:marRight w:val="0"/>
                      <w:marTop w:val="0"/>
                      <w:marBottom w:val="0"/>
                      <w:divBdr>
                        <w:top w:val="none" w:sz="0" w:space="0" w:color="auto"/>
                        <w:left w:val="none" w:sz="0" w:space="0" w:color="auto"/>
                        <w:bottom w:val="none" w:sz="0" w:space="0" w:color="auto"/>
                        <w:right w:val="none" w:sz="0" w:space="0" w:color="auto"/>
                      </w:divBdr>
                      <w:divsChild>
                        <w:div w:id="5467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73">
              <w:marLeft w:val="0"/>
              <w:marRight w:val="0"/>
              <w:marTop w:val="0"/>
              <w:marBottom w:val="0"/>
              <w:divBdr>
                <w:top w:val="none" w:sz="0" w:space="0" w:color="auto"/>
                <w:left w:val="none" w:sz="0" w:space="0" w:color="auto"/>
                <w:bottom w:val="none" w:sz="0" w:space="0" w:color="auto"/>
                <w:right w:val="none" w:sz="0" w:space="0" w:color="auto"/>
              </w:divBdr>
              <w:divsChild>
                <w:div w:id="956713126">
                  <w:marLeft w:val="0"/>
                  <w:marRight w:val="0"/>
                  <w:marTop w:val="0"/>
                  <w:marBottom w:val="450"/>
                  <w:divBdr>
                    <w:top w:val="none" w:sz="0" w:space="0" w:color="auto"/>
                    <w:left w:val="none" w:sz="0" w:space="0" w:color="auto"/>
                    <w:bottom w:val="none" w:sz="0" w:space="0" w:color="auto"/>
                    <w:right w:val="none" w:sz="0" w:space="0" w:color="auto"/>
                  </w:divBdr>
                  <w:divsChild>
                    <w:div w:id="1176073112">
                      <w:marLeft w:val="975"/>
                      <w:marRight w:val="0"/>
                      <w:marTop w:val="0"/>
                      <w:marBottom w:val="0"/>
                      <w:divBdr>
                        <w:top w:val="none" w:sz="0" w:space="0" w:color="auto"/>
                        <w:left w:val="none" w:sz="0" w:space="0" w:color="auto"/>
                        <w:bottom w:val="none" w:sz="0" w:space="0" w:color="auto"/>
                        <w:right w:val="none" w:sz="0" w:space="0" w:color="auto"/>
                      </w:divBdr>
                    </w:div>
                  </w:divsChild>
                </w:div>
                <w:div w:id="890850885">
                  <w:marLeft w:val="0"/>
                  <w:marRight w:val="0"/>
                  <w:marTop w:val="0"/>
                  <w:marBottom w:val="450"/>
                  <w:divBdr>
                    <w:top w:val="none" w:sz="0" w:space="0" w:color="auto"/>
                    <w:left w:val="none" w:sz="0" w:space="0" w:color="auto"/>
                    <w:bottom w:val="none" w:sz="0" w:space="0" w:color="auto"/>
                    <w:right w:val="none" w:sz="0" w:space="0" w:color="auto"/>
                  </w:divBdr>
                  <w:divsChild>
                    <w:div w:id="896016671">
                      <w:marLeft w:val="975"/>
                      <w:marRight w:val="0"/>
                      <w:marTop w:val="0"/>
                      <w:marBottom w:val="0"/>
                      <w:divBdr>
                        <w:top w:val="none" w:sz="0" w:space="0" w:color="auto"/>
                        <w:left w:val="none" w:sz="0" w:space="0" w:color="auto"/>
                        <w:bottom w:val="none" w:sz="0" w:space="0" w:color="auto"/>
                        <w:right w:val="none" w:sz="0" w:space="0" w:color="auto"/>
                      </w:divBdr>
                    </w:div>
                  </w:divsChild>
                </w:div>
                <w:div w:id="781652282">
                  <w:marLeft w:val="0"/>
                  <w:marRight w:val="0"/>
                  <w:marTop w:val="0"/>
                  <w:marBottom w:val="450"/>
                  <w:divBdr>
                    <w:top w:val="none" w:sz="0" w:space="0" w:color="auto"/>
                    <w:left w:val="none" w:sz="0" w:space="0" w:color="auto"/>
                    <w:bottom w:val="none" w:sz="0" w:space="0" w:color="auto"/>
                    <w:right w:val="none" w:sz="0" w:space="0" w:color="auto"/>
                  </w:divBdr>
                  <w:divsChild>
                    <w:div w:id="1181160130">
                      <w:marLeft w:val="975"/>
                      <w:marRight w:val="0"/>
                      <w:marTop w:val="0"/>
                      <w:marBottom w:val="0"/>
                      <w:divBdr>
                        <w:top w:val="none" w:sz="0" w:space="0" w:color="auto"/>
                        <w:left w:val="none" w:sz="0" w:space="0" w:color="auto"/>
                        <w:bottom w:val="none" w:sz="0" w:space="0" w:color="auto"/>
                        <w:right w:val="none" w:sz="0" w:space="0" w:color="auto"/>
                      </w:divBdr>
                    </w:div>
                  </w:divsChild>
                </w:div>
              </w:divsChild>
            </w:div>
            <w:div w:id="1306084441">
              <w:marLeft w:val="0"/>
              <w:marRight w:val="0"/>
              <w:marTop w:val="0"/>
              <w:marBottom w:val="0"/>
              <w:divBdr>
                <w:top w:val="none" w:sz="0" w:space="0" w:color="auto"/>
                <w:left w:val="none" w:sz="0" w:space="0" w:color="auto"/>
                <w:bottom w:val="none" w:sz="0" w:space="0" w:color="auto"/>
                <w:right w:val="none" w:sz="0" w:space="0" w:color="auto"/>
              </w:divBdr>
              <w:divsChild>
                <w:div w:id="151873819">
                  <w:marLeft w:val="-225"/>
                  <w:marRight w:val="-225"/>
                  <w:marTop w:val="0"/>
                  <w:marBottom w:val="0"/>
                  <w:divBdr>
                    <w:top w:val="none" w:sz="0" w:space="0" w:color="auto"/>
                    <w:left w:val="none" w:sz="0" w:space="0" w:color="auto"/>
                    <w:bottom w:val="none" w:sz="0" w:space="0" w:color="auto"/>
                    <w:right w:val="none" w:sz="0" w:space="0" w:color="auto"/>
                  </w:divBdr>
                  <w:divsChild>
                    <w:div w:id="963465288">
                      <w:marLeft w:val="0"/>
                      <w:marRight w:val="0"/>
                      <w:marTop w:val="0"/>
                      <w:marBottom w:val="0"/>
                      <w:divBdr>
                        <w:top w:val="none" w:sz="0" w:space="0" w:color="auto"/>
                        <w:left w:val="none" w:sz="0" w:space="0" w:color="auto"/>
                        <w:bottom w:val="none" w:sz="0" w:space="0" w:color="auto"/>
                        <w:right w:val="none" w:sz="0" w:space="0" w:color="auto"/>
                      </w:divBdr>
                      <w:divsChild>
                        <w:div w:id="9096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8471">
      <w:bodyDiv w:val="1"/>
      <w:marLeft w:val="0"/>
      <w:marRight w:val="0"/>
      <w:marTop w:val="0"/>
      <w:marBottom w:val="0"/>
      <w:divBdr>
        <w:top w:val="none" w:sz="0" w:space="0" w:color="auto"/>
        <w:left w:val="none" w:sz="0" w:space="0" w:color="auto"/>
        <w:bottom w:val="none" w:sz="0" w:space="0" w:color="auto"/>
        <w:right w:val="none" w:sz="0" w:space="0" w:color="auto"/>
      </w:divBdr>
      <w:divsChild>
        <w:div w:id="1609578185">
          <w:marLeft w:val="0"/>
          <w:marRight w:val="0"/>
          <w:marTop w:val="0"/>
          <w:marBottom w:val="0"/>
          <w:divBdr>
            <w:top w:val="none" w:sz="0" w:space="0" w:color="auto"/>
            <w:left w:val="none" w:sz="0" w:space="0" w:color="auto"/>
            <w:bottom w:val="none" w:sz="0" w:space="0" w:color="auto"/>
            <w:right w:val="none" w:sz="0" w:space="0" w:color="auto"/>
          </w:divBdr>
        </w:div>
        <w:div w:id="1084841302">
          <w:marLeft w:val="0"/>
          <w:marRight w:val="0"/>
          <w:marTop w:val="225"/>
          <w:marBottom w:val="0"/>
          <w:divBdr>
            <w:top w:val="none" w:sz="0" w:space="0" w:color="auto"/>
            <w:left w:val="none" w:sz="0" w:space="0" w:color="auto"/>
            <w:bottom w:val="none" w:sz="0" w:space="0" w:color="auto"/>
            <w:right w:val="none" w:sz="0" w:space="0" w:color="auto"/>
          </w:divBdr>
          <w:divsChild>
            <w:div w:id="1698239014">
              <w:marLeft w:val="0"/>
              <w:marRight w:val="105"/>
              <w:marTop w:val="0"/>
              <w:marBottom w:val="0"/>
              <w:divBdr>
                <w:top w:val="none" w:sz="0" w:space="0" w:color="auto"/>
                <w:left w:val="none" w:sz="0" w:space="0" w:color="auto"/>
                <w:bottom w:val="none" w:sz="0" w:space="0" w:color="auto"/>
                <w:right w:val="none" w:sz="0" w:space="0" w:color="auto"/>
              </w:divBdr>
            </w:div>
            <w:div w:id="1466512036">
              <w:marLeft w:val="0"/>
              <w:marRight w:val="105"/>
              <w:marTop w:val="0"/>
              <w:marBottom w:val="0"/>
              <w:divBdr>
                <w:top w:val="none" w:sz="0" w:space="0" w:color="auto"/>
                <w:left w:val="none" w:sz="0" w:space="0" w:color="auto"/>
                <w:bottom w:val="none" w:sz="0" w:space="0" w:color="auto"/>
                <w:right w:val="none" w:sz="0" w:space="0" w:color="auto"/>
              </w:divBdr>
            </w:div>
            <w:div w:id="1404568675">
              <w:marLeft w:val="0"/>
              <w:marRight w:val="105"/>
              <w:marTop w:val="0"/>
              <w:marBottom w:val="0"/>
              <w:divBdr>
                <w:top w:val="none" w:sz="0" w:space="0" w:color="auto"/>
                <w:left w:val="none" w:sz="0" w:space="0" w:color="auto"/>
                <w:bottom w:val="none" w:sz="0" w:space="0" w:color="auto"/>
                <w:right w:val="none" w:sz="0" w:space="0" w:color="auto"/>
              </w:divBdr>
            </w:div>
          </w:divsChild>
        </w:div>
        <w:div w:id="1919438582">
          <w:marLeft w:val="-225"/>
          <w:marRight w:val="-225"/>
          <w:marTop w:val="0"/>
          <w:marBottom w:val="0"/>
          <w:divBdr>
            <w:top w:val="none" w:sz="0" w:space="0" w:color="auto"/>
            <w:left w:val="none" w:sz="0" w:space="0" w:color="auto"/>
            <w:bottom w:val="none" w:sz="0" w:space="0" w:color="auto"/>
            <w:right w:val="none" w:sz="0" w:space="0" w:color="auto"/>
          </w:divBdr>
          <w:divsChild>
            <w:div w:id="1908690083">
              <w:marLeft w:val="0"/>
              <w:marRight w:val="0"/>
              <w:marTop w:val="0"/>
              <w:marBottom w:val="0"/>
              <w:divBdr>
                <w:top w:val="none" w:sz="0" w:space="0" w:color="auto"/>
                <w:left w:val="none" w:sz="0" w:space="0" w:color="auto"/>
                <w:bottom w:val="none" w:sz="0" w:space="0" w:color="auto"/>
                <w:right w:val="none" w:sz="0" w:space="0" w:color="auto"/>
              </w:divBdr>
              <w:divsChild>
                <w:div w:id="1753425942">
                  <w:marLeft w:val="-225"/>
                  <w:marRight w:val="-225"/>
                  <w:marTop w:val="0"/>
                  <w:marBottom w:val="0"/>
                  <w:divBdr>
                    <w:top w:val="none" w:sz="0" w:space="0" w:color="auto"/>
                    <w:left w:val="none" w:sz="0" w:space="0" w:color="auto"/>
                    <w:bottom w:val="none" w:sz="0" w:space="0" w:color="auto"/>
                    <w:right w:val="none" w:sz="0" w:space="0" w:color="auto"/>
                  </w:divBdr>
                  <w:divsChild>
                    <w:div w:id="1549150847">
                      <w:marLeft w:val="0"/>
                      <w:marRight w:val="0"/>
                      <w:marTop w:val="0"/>
                      <w:marBottom w:val="0"/>
                      <w:divBdr>
                        <w:top w:val="none" w:sz="0" w:space="0" w:color="auto"/>
                        <w:left w:val="none" w:sz="0" w:space="0" w:color="auto"/>
                        <w:bottom w:val="none" w:sz="0" w:space="0" w:color="auto"/>
                        <w:right w:val="none" w:sz="0" w:space="0" w:color="auto"/>
                      </w:divBdr>
                      <w:divsChild>
                        <w:div w:id="1255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087">
              <w:marLeft w:val="0"/>
              <w:marRight w:val="0"/>
              <w:marTop w:val="0"/>
              <w:marBottom w:val="0"/>
              <w:divBdr>
                <w:top w:val="none" w:sz="0" w:space="0" w:color="auto"/>
                <w:left w:val="none" w:sz="0" w:space="0" w:color="auto"/>
                <w:bottom w:val="none" w:sz="0" w:space="0" w:color="auto"/>
                <w:right w:val="none" w:sz="0" w:space="0" w:color="auto"/>
              </w:divBdr>
              <w:divsChild>
                <w:div w:id="145903306">
                  <w:marLeft w:val="0"/>
                  <w:marRight w:val="0"/>
                  <w:marTop w:val="0"/>
                  <w:marBottom w:val="450"/>
                  <w:divBdr>
                    <w:top w:val="none" w:sz="0" w:space="0" w:color="auto"/>
                    <w:left w:val="none" w:sz="0" w:space="0" w:color="auto"/>
                    <w:bottom w:val="none" w:sz="0" w:space="0" w:color="auto"/>
                    <w:right w:val="none" w:sz="0" w:space="0" w:color="auto"/>
                  </w:divBdr>
                  <w:divsChild>
                    <w:div w:id="1293053860">
                      <w:marLeft w:val="975"/>
                      <w:marRight w:val="0"/>
                      <w:marTop w:val="0"/>
                      <w:marBottom w:val="0"/>
                      <w:divBdr>
                        <w:top w:val="none" w:sz="0" w:space="0" w:color="auto"/>
                        <w:left w:val="none" w:sz="0" w:space="0" w:color="auto"/>
                        <w:bottom w:val="none" w:sz="0" w:space="0" w:color="auto"/>
                        <w:right w:val="none" w:sz="0" w:space="0" w:color="auto"/>
                      </w:divBdr>
                    </w:div>
                  </w:divsChild>
                </w:div>
                <w:div w:id="589386061">
                  <w:marLeft w:val="0"/>
                  <w:marRight w:val="0"/>
                  <w:marTop w:val="0"/>
                  <w:marBottom w:val="450"/>
                  <w:divBdr>
                    <w:top w:val="none" w:sz="0" w:space="0" w:color="auto"/>
                    <w:left w:val="none" w:sz="0" w:space="0" w:color="auto"/>
                    <w:bottom w:val="none" w:sz="0" w:space="0" w:color="auto"/>
                    <w:right w:val="none" w:sz="0" w:space="0" w:color="auto"/>
                  </w:divBdr>
                  <w:divsChild>
                    <w:div w:id="1244530049">
                      <w:marLeft w:val="975"/>
                      <w:marRight w:val="0"/>
                      <w:marTop w:val="0"/>
                      <w:marBottom w:val="0"/>
                      <w:divBdr>
                        <w:top w:val="none" w:sz="0" w:space="0" w:color="auto"/>
                        <w:left w:val="none" w:sz="0" w:space="0" w:color="auto"/>
                        <w:bottom w:val="none" w:sz="0" w:space="0" w:color="auto"/>
                        <w:right w:val="none" w:sz="0" w:space="0" w:color="auto"/>
                      </w:divBdr>
                    </w:div>
                  </w:divsChild>
                </w:div>
                <w:div w:id="132991613">
                  <w:marLeft w:val="0"/>
                  <w:marRight w:val="0"/>
                  <w:marTop w:val="0"/>
                  <w:marBottom w:val="450"/>
                  <w:divBdr>
                    <w:top w:val="none" w:sz="0" w:space="0" w:color="auto"/>
                    <w:left w:val="none" w:sz="0" w:space="0" w:color="auto"/>
                    <w:bottom w:val="none" w:sz="0" w:space="0" w:color="auto"/>
                    <w:right w:val="none" w:sz="0" w:space="0" w:color="auto"/>
                  </w:divBdr>
                  <w:divsChild>
                    <w:div w:id="691998761">
                      <w:marLeft w:val="975"/>
                      <w:marRight w:val="0"/>
                      <w:marTop w:val="0"/>
                      <w:marBottom w:val="0"/>
                      <w:divBdr>
                        <w:top w:val="none" w:sz="0" w:space="0" w:color="auto"/>
                        <w:left w:val="none" w:sz="0" w:space="0" w:color="auto"/>
                        <w:bottom w:val="none" w:sz="0" w:space="0" w:color="auto"/>
                        <w:right w:val="none" w:sz="0" w:space="0" w:color="auto"/>
                      </w:divBdr>
                    </w:div>
                  </w:divsChild>
                </w:div>
              </w:divsChild>
            </w:div>
            <w:div w:id="1813718741">
              <w:marLeft w:val="0"/>
              <w:marRight w:val="0"/>
              <w:marTop w:val="0"/>
              <w:marBottom w:val="0"/>
              <w:divBdr>
                <w:top w:val="none" w:sz="0" w:space="0" w:color="auto"/>
                <w:left w:val="none" w:sz="0" w:space="0" w:color="auto"/>
                <w:bottom w:val="none" w:sz="0" w:space="0" w:color="auto"/>
                <w:right w:val="none" w:sz="0" w:space="0" w:color="auto"/>
              </w:divBdr>
              <w:divsChild>
                <w:div w:id="651376903">
                  <w:marLeft w:val="-225"/>
                  <w:marRight w:val="-225"/>
                  <w:marTop w:val="0"/>
                  <w:marBottom w:val="0"/>
                  <w:divBdr>
                    <w:top w:val="none" w:sz="0" w:space="0" w:color="auto"/>
                    <w:left w:val="none" w:sz="0" w:space="0" w:color="auto"/>
                    <w:bottom w:val="none" w:sz="0" w:space="0" w:color="auto"/>
                    <w:right w:val="none" w:sz="0" w:space="0" w:color="auto"/>
                  </w:divBdr>
                  <w:divsChild>
                    <w:div w:id="707029751">
                      <w:marLeft w:val="0"/>
                      <w:marRight w:val="0"/>
                      <w:marTop w:val="0"/>
                      <w:marBottom w:val="0"/>
                      <w:divBdr>
                        <w:top w:val="none" w:sz="0" w:space="0" w:color="auto"/>
                        <w:left w:val="none" w:sz="0" w:space="0" w:color="auto"/>
                        <w:bottom w:val="none" w:sz="0" w:space="0" w:color="auto"/>
                        <w:right w:val="none" w:sz="0" w:space="0" w:color="auto"/>
                      </w:divBdr>
                      <w:divsChild>
                        <w:div w:id="1430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3982">
              <w:marLeft w:val="0"/>
              <w:marRight w:val="0"/>
              <w:marTop w:val="0"/>
              <w:marBottom w:val="0"/>
              <w:divBdr>
                <w:top w:val="none" w:sz="0" w:space="0" w:color="auto"/>
                <w:left w:val="none" w:sz="0" w:space="0" w:color="auto"/>
                <w:bottom w:val="none" w:sz="0" w:space="0" w:color="auto"/>
                <w:right w:val="none" w:sz="0" w:space="0" w:color="auto"/>
              </w:divBdr>
              <w:divsChild>
                <w:div w:id="1608655957">
                  <w:marLeft w:val="0"/>
                  <w:marRight w:val="0"/>
                  <w:marTop w:val="0"/>
                  <w:marBottom w:val="0"/>
                  <w:divBdr>
                    <w:top w:val="none" w:sz="0" w:space="0" w:color="auto"/>
                    <w:left w:val="none" w:sz="0" w:space="0" w:color="auto"/>
                    <w:bottom w:val="none" w:sz="0" w:space="0" w:color="auto"/>
                    <w:right w:val="none" w:sz="0" w:space="0" w:color="auto"/>
                  </w:divBdr>
                  <w:divsChild>
                    <w:div w:id="189147835">
                      <w:marLeft w:val="0"/>
                      <w:marRight w:val="0"/>
                      <w:marTop w:val="0"/>
                      <w:marBottom w:val="0"/>
                      <w:divBdr>
                        <w:top w:val="none" w:sz="0" w:space="0" w:color="auto"/>
                        <w:left w:val="none" w:sz="0" w:space="0" w:color="auto"/>
                        <w:bottom w:val="none" w:sz="0" w:space="0" w:color="auto"/>
                        <w:right w:val="none" w:sz="0" w:space="0" w:color="auto"/>
                      </w:divBdr>
                      <w:divsChild>
                        <w:div w:id="310135653">
                          <w:marLeft w:val="0"/>
                          <w:marRight w:val="0"/>
                          <w:marTop w:val="0"/>
                          <w:marBottom w:val="0"/>
                          <w:divBdr>
                            <w:top w:val="none" w:sz="0" w:space="0" w:color="auto"/>
                            <w:left w:val="none" w:sz="0" w:space="0" w:color="auto"/>
                            <w:bottom w:val="none" w:sz="0" w:space="0" w:color="auto"/>
                            <w:right w:val="none" w:sz="0" w:space="0" w:color="auto"/>
                          </w:divBdr>
                          <w:divsChild>
                            <w:div w:id="913903631">
                              <w:marLeft w:val="0"/>
                              <w:marRight w:val="0"/>
                              <w:marTop w:val="0"/>
                              <w:marBottom w:val="0"/>
                              <w:divBdr>
                                <w:top w:val="none" w:sz="0" w:space="0" w:color="auto"/>
                                <w:left w:val="none" w:sz="0" w:space="0" w:color="auto"/>
                                <w:bottom w:val="none" w:sz="0" w:space="0" w:color="auto"/>
                                <w:right w:val="none" w:sz="0" w:space="0" w:color="auto"/>
                              </w:divBdr>
                              <w:divsChild>
                                <w:div w:id="580992170">
                                  <w:marLeft w:val="0"/>
                                  <w:marRight w:val="0"/>
                                  <w:marTop w:val="0"/>
                                  <w:marBottom w:val="0"/>
                                  <w:divBdr>
                                    <w:top w:val="none" w:sz="0" w:space="0" w:color="auto"/>
                                    <w:left w:val="none" w:sz="0" w:space="0" w:color="auto"/>
                                    <w:bottom w:val="none" w:sz="0" w:space="0" w:color="auto"/>
                                    <w:right w:val="none" w:sz="0" w:space="0" w:color="auto"/>
                                  </w:divBdr>
                                </w:div>
                                <w:div w:id="13448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869840">
              <w:marLeft w:val="0"/>
              <w:marRight w:val="0"/>
              <w:marTop w:val="0"/>
              <w:marBottom w:val="0"/>
              <w:divBdr>
                <w:top w:val="none" w:sz="0" w:space="0" w:color="auto"/>
                <w:left w:val="none" w:sz="0" w:space="0" w:color="auto"/>
                <w:bottom w:val="none" w:sz="0" w:space="0" w:color="auto"/>
                <w:right w:val="none" w:sz="0" w:space="0" w:color="auto"/>
              </w:divBdr>
              <w:divsChild>
                <w:div w:id="615142749">
                  <w:marLeft w:val="-225"/>
                  <w:marRight w:val="-225"/>
                  <w:marTop w:val="0"/>
                  <w:marBottom w:val="0"/>
                  <w:divBdr>
                    <w:top w:val="none" w:sz="0" w:space="0" w:color="auto"/>
                    <w:left w:val="none" w:sz="0" w:space="0" w:color="auto"/>
                    <w:bottom w:val="none" w:sz="0" w:space="0" w:color="auto"/>
                    <w:right w:val="none" w:sz="0" w:space="0" w:color="auto"/>
                  </w:divBdr>
                  <w:divsChild>
                    <w:div w:id="474837855">
                      <w:marLeft w:val="0"/>
                      <w:marRight w:val="0"/>
                      <w:marTop w:val="0"/>
                      <w:marBottom w:val="0"/>
                      <w:divBdr>
                        <w:top w:val="none" w:sz="0" w:space="0" w:color="auto"/>
                        <w:left w:val="none" w:sz="0" w:space="0" w:color="auto"/>
                        <w:bottom w:val="none" w:sz="0" w:space="0" w:color="auto"/>
                        <w:right w:val="none" w:sz="0" w:space="0" w:color="auto"/>
                      </w:divBdr>
                      <w:divsChild>
                        <w:div w:id="1148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7584">
      <w:bodyDiv w:val="1"/>
      <w:marLeft w:val="0"/>
      <w:marRight w:val="0"/>
      <w:marTop w:val="0"/>
      <w:marBottom w:val="0"/>
      <w:divBdr>
        <w:top w:val="none" w:sz="0" w:space="0" w:color="auto"/>
        <w:left w:val="none" w:sz="0" w:space="0" w:color="auto"/>
        <w:bottom w:val="none" w:sz="0" w:space="0" w:color="auto"/>
        <w:right w:val="none" w:sz="0" w:space="0" w:color="auto"/>
      </w:divBdr>
      <w:divsChild>
        <w:div w:id="1137647722">
          <w:marLeft w:val="0"/>
          <w:marRight w:val="0"/>
          <w:marTop w:val="0"/>
          <w:marBottom w:val="0"/>
          <w:divBdr>
            <w:top w:val="none" w:sz="0" w:space="0" w:color="auto"/>
            <w:left w:val="none" w:sz="0" w:space="0" w:color="auto"/>
            <w:bottom w:val="none" w:sz="0" w:space="0" w:color="auto"/>
            <w:right w:val="none" w:sz="0" w:space="0" w:color="auto"/>
          </w:divBdr>
          <w:divsChild>
            <w:div w:id="1946423566">
              <w:marLeft w:val="-225"/>
              <w:marRight w:val="-225"/>
              <w:marTop w:val="0"/>
              <w:marBottom w:val="0"/>
              <w:divBdr>
                <w:top w:val="none" w:sz="0" w:space="0" w:color="auto"/>
                <w:left w:val="none" w:sz="0" w:space="0" w:color="auto"/>
                <w:bottom w:val="none" w:sz="0" w:space="0" w:color="auto"/>
                <w:right w:val="none" w:sz="0" w:space="0" w:color="auto"/>
              </w:divBdr>
              <w:divsChild>
                <w:div w:id="2072775010">
                  <w:marLeft w:val="0"/>
                  <w:marRight w:val="0"/>
                  <w:marTop w:val="0"/>
                  <w:marBottom w:val="0"/>
                  <w:divBdr>
                    <w:top w:val="none" w:sz="0" w:space="0" w:color="auto"/>
                    <w:left w:val="none" w:sz="0" w:space="0" w:color="auto"/>
                    <w:bottom w:val="none" w:sz="0" w:space="0" w:color="auto"/>
                    <w:right w:val="none" w:sz="0" w:space="0" w:color="auto"/>
                  </w:divBdr>
                  <w:divsChild>
                    <w:div w:id="348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542">
          <w:marLeft w:val="0"/>
          <w:marRight w:val="0"/>
          <w:marTop w:val="0"/>
          <w:marBottom w:val="0"/>
          <w:divBdr>
            <w:top w:val="none" w:sz="0" w:space="0" w:color="auto"/>
            <w:left w:val="none" w:sz="0" w:space="0" w:color="auto"/>
            <w:bottom w:val="none" w:sz="0" w:space="0" w:color="auto"/>
            <w:right w:val="none" w:sz="0" w:space="0" w:color="auto"/>
          </w:divBdr>
          <w:divsChild>
            <w:div w:id="2117555205">
              <w:marLeft w:val="-225"/>
              <w:marRight w:val="-225"/>
              <w:marTop w:val="0"/>
              <w:marBottom w:val="0"/>
              <w:divBdr>
                <w:top w:val="none" w:sz="0" w:space="0" w:color="auto"/>
                <w:left w:val="none" w:sz="0" w:space="0" w:color="auto"/>
                <w:bottom w:val="none" w:sz="0" w:space="0" w:color="auto"/>
                <w:right w:val="none" w:sz="0" w:space="0" w:color="auto"/>
              </w:divBdr>
              <w:divsChild>
                <w:div w:id="421874680">
                  <w:marLeft w:val="0"/>
                  <w:marRight w:val="0"/>
                  <w:marTop w:val="0"/>
                  <w:marBottom w:val="0"/>
                  <w:divBdr>
                    <w:top w:val="none" w:sz="0" w:space="0" w:color="auto"/>
                    <w:left w:val="none" w:sz="0" w:space="0" w:color="auto"/>
                    <w:bottom w:val="none" w:sz="0" w:space="0" w:color="auto"/>
                    <w:right w:val="none" w:sz="0" w:space="0" w:color="auto"/>
                  </w:divBdr>
                  <w:divsChild>
                    <w:div w:id="1573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795">
          <w:marLeft w:val="0"/>
          <w:marRight w:val="0"/>
          <w:marTop w:val="0"/>
          <w:marBottom w:val="0"/>
          <w:divBdr>
            <w:top w:val="none" w:sz="0" w:space="0" w:color="auto"/>
            <w:left w:val="none" w:sz="0" w:space="0" w:color="auto"/>
            <w:bottom w:val="none" w:sz="0" w:space="0" w:color="auto"/>
            <w:right w:val="none" w:sz="0" w:space="0" w:color="auto"/>
          </w:divBdr>
          <w:divsChild>
            <w:div w:id="1108624103">
              <w:marLeft w:val="-225"/>
              <w:marRight w:val="-225"/>
              <w:marTop w:val="0"/>
              <w:marBottom w:val="0"/>
              <w:divBdr>
                <w:top w:val="none" w:sz="0" w:space="0" w:color="auto"/>
                <w:left w:val="none" w:sz="0" w:space="0" w:color="auto"/>
                <w:bottom w:val="none" w:sz="0" w:space="0" w:color="auto"/>
                <w:right w:val="none" w:sz="0" w:space="0" w:color="auto"/>
              </w:divBdr>
              <w:divsChild>
                <w:div w:id="1213545171">
                  <w:marLeft w:val="0"/>
                  <w:marRight w:val="0"/>
                  <w:marTop w:val="0"/>
                  <w:marBottom w:val="0"/>
                  <w:divBdr>
                    <w:top w:val="none" w:sz="0" w:space="0" w:color="auto"/>
                    <w:left w:val="none" w:sz="0" w:space="0" w:color="auto"/>
                    <w:bottom w:val="none" w:sz="0" w:space="0" w:color="auto"/>
                    <w:right w:val="none" w:sz="0" w:space="0" w:color="auto"/>
                  </w:divBdr>
                  <w:divsChild>
                    <w:div w:id="1024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sticsnz.shinyapps.io/bpbench/" TargetMode="External"/><Relationship Id="rId18" Type="http://schemas.openxmlformats.org/officeDocument/2006/relationships/hyperlink" Target="https://www.stats.govt.nz/assets/Uploads/Annual-enterprise-survey/Annual-enterprise-survey-2020-financial-year-provisional/Download-data/annual-enterprise-survey-2020-financial-year-provisional-size-bands-csv.csv" TargetMode="External"/><Relationship Id="rId26" Type="http://schemas.openxmlformats.org/officeDocument/2006/relationships/hyperlink" Target="https://www.stats.govt.nz/assets/Uploads/Annual-enterprise-survey/Annual-enterprise-survey-2021-financial-year-provisional/Download-data/annual-enterprise-survey-2021-financial-year-provisional-csv.csv"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www.stats.govt.nz/assets/Uploads/Annual-enterprise-survey/Annual-enterprise-survey-2019-financial-year-provisional/Download-data/annual-enterprise-survey-2019-financial-year-provisional-size-bands-csv.csv" TargetMode="External"/><Relationship Id="rId12" Type="http://schemas.openxmlformats.org/officeDocument/2006/relationships/hyperlink" Target="https://www.xrb.govt.nz/accounting-standards/for-profit-entities/nz-ifrs-16/" TargetMode="External"/><Relationship Id="rId17" Type="http://schemas.openxmlformats.org/officeDocument/2006/relationships/hyperlink" Target="https://www.stats.govt.nz/assets/Uploads/Annual-enterprise-survey/Annual-enterprise-survey-2020-financial-year-provisional/Download-data/annual-enterprise-survey-2020-financial-year-provisional-size-bands.xlsx" TargetMode="External"/><Relationship Id="rId25" Type="http://schemas.openxmlformats.org/officeDocument/2006/relationships/hyperlink" Target="http://datainfoplus.stats.govt.nz/Item/nz.govt.stats/36809771-984d-4e6b-89a1-576f2118b05b" TargetMode="External"/><Relationship Id="rId33" Type="http://schemas.openxmlformats.org/officeDocument/2006/relationships/hyperlink" Target="https://datainfoplus.stats.govt.nz/item/nz.govt.stats/36809771-984d-4e6b-89a1-576f2118b05b" TargetMode="External"/><Relationship Id="rId2" Type="http://schemas.openxmlformats.org/officeDocument/2006/relationships/numbering" Target="numbering.xml"/><Relationship Id="rId16" Type="http://schemas.openxmlformats.org/officeDocument/2006/relationships/hyperlink" Target="https://www.stats.govt.nz/assets/Uploads/Annual-enterprise-survey/Annual-enterprise-survey-2020-financial-year-provisional/Download-data/annual-enterprise-survey-2020-financial-year-provisional-csv.csv"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stats.govt.nz/assets/Uploads/Annual-enterprise-survey/Annual-enterprise-survey-2019-financial-year-provisional/Download-data/annual-enterprise-survey-2019-financial-year-provisional-csv.csv" TargetMode="External"/><Relationship Id="rId11" Type="http://schemas.openxmlformats.org/officeDocument/2006/relationships/image" Target="media/image2.png"/><Relationship Id="rId24" Type="http://schemas.openxmlformats.org/officeDocument/2006/relationships/hyperlink" Target="http://datainfoplus.stats.govt.nz/Item/nz.govt.stats/36809771-984d-4e6b-89a1-576f2118b05b" TargetMode="External"/><Relationship Id="rId32" Type="http://schemas.openxmlformats.org/officeDocument/2006/relationships/hyperlink" Target="https://datainfoplus.stats.govt.nz/item/nz.govt.stats/dd8fe0ac-7740-45ee-bd08-f9ab429af64b" TargetMode="External"/><Relationship Id="rId5" Type="http://schemas.openxmlformats.org/officeDocument/2006/relationships/webSettings" Target="webSettings.xml"/><Relationship Id="rId15" Type="http://schemas.openxmlformats.org/officeDocument/2006/relationships/hyperlink" Target="http://datainfoplus.stats.govt.nz/Item/nz.govt.stats/36809771-984d-4e6b-89a1-576f2118b05b" TargetMode="External"/><Relationship Id="rId23" Type="http://schemas.openxmlformats.org/officeDocument/2006/relationships/hyperlink" Target="https://www.stats.govt.nz/information-releases/annual-enterprise-survey-2020-financial-year-provisional" TargetMode="External"/><Relationship Id="rId28" Type="http://schemas.openxmlformats.org/officeDocument/2006/relationships/hyperlink" Target="https://www.stats.govt.nz/assets/Uploads/Annual-enterprise-survey/Annual-enterprise-survey-2021-financial-year-provisional/Download-data/annual-enterprise-survey-2021-financial-year-provisional-size-bands-csv.csv" TargetMode="External"/><Relationship Id="rId10" Type="http://schemas.openxmlformats.org/officeDocument/2006/relationships/image" Target="media/image1.png"/><Relationship Id="rId19" Type="http://schemas.openxmlformats.org/officeDocument/2006/relationships/hyperlink" Target="https://www.xrb.govt.nz/accounting-standards/for-profit-entities/nz-ifrs-16/" TargetMode="External"/><Relationship Id="rId31" Type="http://schemas.openxmlformats.org/officeDocument/2006/relationships/hyperlink" Target="https://www.stats.govt.nz/experimental/business-performance-benchmarker" TargetMode="External"/><Relationship Id="rId4" Type="http://schemas.openxmlformats.org/officeDocument/2006/relationships/settings" Target="settings.xml"/><Relationship Id="rId9" Type="http://schemas.openxmlformats.org/officeDocument/2006/relationships/hyperlink" Target="https://www.stats.govt.nz/information-releases/business-price-indexes-march-2020-quarter" TargetMode="External"/><Relationship Id="rId14" Type="http://schemas.openxmlformats.org/officeDocument/2006/relationships/hyperlink" Target="http://datainfoplus.stats.govt.nz/Item/nz.govt.stats/36809771-984d-4e6b-89a1-576f2118b05b" TargetMode="External"/><Relationship Id="rId22" Type="http://schemas.openxmlformats.org/officeDocument/2006/relationships/hyperlink" Target="https://statisticsnz.shinyapps.io/bpbench/" TargetMode="External"/><Relationship Id="rId27" Type="http://schemas.openxmlformats.org/officeDocument/2006/relationships/hyperlink" Target="https://www.stats.govt.nz/assets/Uploads/Annual-enterprise-survey/Annual-enterprise-survey-2021-financial-year-provisional/Download-data/annual-enterprise-survey-2021-financial-year-provisional-size-bands.xlsx" TargetMode="Externa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hyperlink" Target="https://www.stats.govt.nz/assets/Uploads/Annual-enterprise-survey/Annual-enterprise-survey-2019-financial-year-provisional/Download-data/annual-enterprise-survey-2019-financial-year-provisional-size-bands.xl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D1159-BE2E-482A-AF7E-AFDE21CC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2013</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dc:creator>
  <cp:keywords/>
  <dc:description/>
  <cp:lastModifiedBy>Bruno Soares</cp:lastModifiedBy>
  <cp:revision>2</cp:revision>
  <dcterms:created xsi:type="dcterms:W3CDTF">2022-11-17T10:18:00Z</dcterms:created>
  <dcterms:modified xsi:type="dcterms:W3CDTF">2022-11-17T12:29:00Z</dcterms:modified>
</cp:coreProperties>
</file>