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2 Module Guide</w:t>
      </w:r>
    </w:p>
    <w:p>
      <w:pPr>
        <w:pStyle w:val="Heading2"/>
      </w:pPr>
      <w:r>
        <w:rPr>
          <w:b w:val="0"/>
          <w:i w:val="0"/>
        </w:rPr>
        <w:t>The Architecture of Understanding</w:t>
      </w:r>
    </w:p>
    <w:p>
      <w:pPr/>
      <w:r>
        <w:rPr>
          <w:b/>
          <w:i w:val="0"/>
        </w:rPr>
        <w:t>Chapter:</w:t>
      </w:r>
      <w:r>
        <w:rPr>
          <w:b w:val="0"/>
          <w:i w:val="0"/>
        </w:rPr>
        <w:t xml:space="preserve"> Chapter 2: The Architecture of Understanding</w:t>
      </w:r>
    </w:p>
    <w:p>
      <w:pPr/>
      <w:r>
        <w:rPr>
          <w:b/>
          <w:i w:val="0"/>
        </w:rPr>
        <w:t>Project:</w:t>
      </w:r>
      <w:r>
        <w:rPr>
          <w:b w:val="0"/>
          <w:i w:val="0"/>
        </w:rPr>
        <w:t xml:space="preserve"> Model Selection Memo</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2 Introduction &amp; Objectives</w:t>
      </w:r>
    </w:p>
    <w:p>
      <w:pPr>
        <w:pStyle w:val="Heading4"/>
      </w:pPr>
      <w:r>
        <w:rPr>
          <w:b w:val="0"/>
          <w:i w:val="0"/>
        </w:rPr>
        <w:t>Module Introduction</w:t>
      </w:r>
    </w:p>
    <w:p>
      <w:pPr/>
      <w:r>
        <w:rPr>
          <w:b w:val="0"/>
          <w:i w:val="0"/>
        </w:rPr>
        <w:t>Sarah, a data scientist at a healthcare startup, was frustrated. Her AI-powered patient triage system worked brilliantly in testing; it could answer medical questions, understand symptoms, and provide helpful guidance. Then came production day.</w:t>
      </w:r>
    </w:p>
    <w:p>
      <w:pPr/>
      <w:r>
        <w:rPr>
          <w:b w:val="0"/>
          <w:i w:val="0"/>
        </w:rPr>
        <w:t>Within hours, problems emerged. Simple questions like "What's a normal temperature?" were taking eight seconds and costing $0.03 each, using the company's most powerful (and expensive) AI model for what should be instant, cheap answers. Meanwhile, complex diagnostic questions were being routed to the fast but limited model, producing oversimplified responses that missed important nuances.</w:t>
      </w:r>
    </w:p>
    <w:p>
      <w:pPr/>
      <w:r>
        <w:rPr>
          <w:b w:val="0"/>
          <w:i w:val="0"/>
        </w:rPr>
        <w:t>The monthly API bill projection: $47,000. For 50,000 queries.</w:t>
      </w:r>
    </w:p>
    <w:p>
      <w:pPr/>
      <w:r>
        <w:rPr>
          <w:b w:val="0"/>
          <w:i w:val="0"/>
        </w:rPr>
        <w:t>Sarah's CTO was blunt: "We can't ship this. Figure out what's wrong or we're pulling the plug."</w:t>
      </w:r>
    </w:p>
    <w:p>
      <w:pPr/>
      <w:r>
        <w:rPr>
          <w:b w:val="0"/>
          <w:i w:val="0"/>
        </w:rPr>
        <w:t>That weekend, Sarah dove into something she'd previously skipped: understanding how these AI models actually worked under the hood. Why were there so many different models? What made GPT-4 cost 20 times more than GPT-3.5 Turbo? How could she tell which model was right for which task?</w:t>
      </w:r>
    </w:p>
    <w:p>
      <w:pPr/>
      <w:r>
        <w:rPr>
          <w:b w:val="0"/>
          <w:i w:val="0"/>
        </w:rPr>
        <w:t>As she studied transformer architecture, attention mechanisms, and model training processes, everything clicked. The models weren't mysteriously different, they had fundamentally different designs, training approaches, and capabilities. More importantly, she realized she could build a system that automatically routed each query to the optimal model based on its complexity and requirements.</w:t>
      </w:r>
    </w:p>
    <w:p>
      <w:pPr/>
      <w:r>
        <w:rPr>
          <w:b w:val="0"/>
          <w:i w:val="0"/>
        </w:rPr>
        <w:t>Monday morning, Sarah deployed her intelligent routing system. Simple queries hit the fast, cheap models. Complex diagnostics went to the powerful ones. Moderate questions found the sweet spot in between.</w:t>
      </w:r>
    </w:p>
    <w:p>
      <w:pPr/>
      <w:r>
        <w:rPr>
          <w:b w:val="0"/>
          <w:i w:val="0"/>
        </w:rPr>
        <w:t>New monthly cost projection: $8,200. Response times: 90% under 2 seconds. Diagnostic accuracy: actually improved.</w:t>
      </w:r>
    </w:p>
    <w:p>
      <w:pPr/>
      <w:r>
        <w:rPr>
          <w:b w:val="0"/>
          <w:i w:val="0"/>
        </w:rPr>
        <w:t>Her CTO's response: "This is why we need to understand our tools, not just use them."</w:t>
      </w:r>
    </w:p>
    <w:p>
      <w:pPr/>
      <w:r>
        <w:rPr>
          <w:b w:val="0"/>
          <w:i w:val="0"/>
        </w:rPr>
        <w:t>This chapter is about developing Sarah's level of understanding, not as an academic exercise, but as practical knowledge that transforms how you build AI applications. You'll learn why different models exist, how their architecture shapes their capabilities, and most importantly, how to intelligently choose and orchestrate them.</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transformer components affect the handling of a research query.</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pre-training, post-training, and inference as explanations for model behavior.</w:t>
            </w:r>
          </w:p>
        </w:tc>
        <w:tc>
          <w:tcPr>
            <w:tcW w:type="dxa" w:w="2280"/>
            <w:vAlign w:val="top"/>
            <w:shd w:fill="F5F8FB"/>
          </w:tcPr>
          <w:p>
            <w:pPr>
              <w:pStyle w:val="TableText"/>
            </w:pPr>
            <w:r>
              <w:rPr>
                <w:b w:val="0"/>
                <w:i w:val="0"/>
              </w:rPr>
              <w:t>CO 1 / PSLOs 1</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capability, context, cost, and latency trade-offs using project requirements.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evidence for domain specialization versus model scale.</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model-selection recommendation with an explicit unresolved question.</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1, CO 3, CO 5 / PSLOs 1, 3, 4,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2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2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2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Model Selection Memo.</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2: The Architecture of Understanding</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Bloomberg's Domain-Specific Financial Model</w:t>
      </w:r>
      <w:r>
        <w:rPr>
          <w:b w:val="0"/>
          <w:i w:val="0"/>
        </w:rPr>
        <w:t xml:space="preserve">, the wrap-up, and </w:t>
      </w:r>
      <w:r>
        <w:rPr>
          <w:b/>
          <w:i w:val="0"/>
        </w:rPr>
        <w:t>Project Milestone: Model Selection Memo</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2: Understanding Foundation Models</w:t>
      </w:r>
    </w:p>
    <w:p>
      <w:pPr/>
      <w:r>
        <w:rPr>
          <w:b w:val="0"/>
          <w:i w:val="0"/>
        </w:rPr>
        <w:t>Focus: Training data, architecture, model size, post-training, sampling, structured outputs, and probabilistic behavior.</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2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 xml:space="preserve">Author-listed starting point: </w:t>
      </w:r>
      <w:r>
        <w:rPr>
          <w:b/>
          <w:i w:val="0"/>
        </w:rPr>
        <w:t>Vaswani, A., et al. (2017). "Attention Is All You Need"</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2 Assignments</w:t>
      </w:r>
    </w:p>
    <w:p>
      <w:pPr/>
      <w:r>
        <w:rPr>
          <w:b w:val="0"/>
          <w:i w:val="0"/>
        </w:rPr>
        <w:t xml:space="preserve">The discussion develops a judgment about </w:t>
      </w:r>
      <w:r>
        <w:rPr>
          <w:b/>
          <w:i w:val="0"/>
        </w:rPr>
        <w:t>When Is a More Capable Model Actually Worth It</w:t>
      </w:r>
      <w:r>
        <w:rPr>
          <w:b w:val="0"/>
          <w:i w:val="0"/>
        </w:rPr>
        <w:t>. The applied work tests that judgment against Bloomberg's Domain-Specific Financial Model. The milestone carries the evidence into Model Selection Memo.</w:t>
      </w:r>
    </w:p>
    <w:p>
      <w:pPr>
        <w:pStyle w:val="Heading3"/>
      </w:pPr>
      <w:r>
        <w:rPr>
          <w:b w:val="0"/>
          <w:i w:val="0"/>
        </w:rPr>
        <w:t>Assignment 1 — When Is a More Capable Model Actually Worth It?</w:t>
      </w:r>
    </w:p>
    <w:p>
      <w:pPr>
        <w:pStyle w:val="Submission"/>
        <w:ind w:left="144" w:right="144"/>
        <w:shd w:fill="EAF3E5"/>
      </w:pPr>
      <w:r>
        <w:rPr>
          <w:b w:val="0"/>
          <w:i w:val="0"/>
        </w:rPr>
        <w:t>Type: Discussion Board. Points: 10. Submit one initial post and two peer responses in the Week 2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two query types in your domain that require different capabilities. Decide when paying for a stronger model is justified.</w:t>
      </w:r>
    </w:p>
    <w:p>
      <w:pPr/>
      <w:r>
        <w:rPr>
          <w:b/>
          <w:i w:val="0"/>
        </w:rPr>
        <w:t>Part B — Comparison:</w:t>
      </w:r>
      <w:r>
        <w:rPr>
          <w:b w:val="0"/>
          <w:i w:val="0"/>
        </w:rPr>
        <w:t xml:space="preserve"> Connect architecture, training, or sampling behavior to that decision. Separate the chapter’s illustrative prices from evidence you would need for a real selection.</w:t>
      </w:r>
    </w:p>
    <w:p>
      <w:pPr/>
      <w:r>
        <w:rPr>
          <w:b/>
          <w:i w:val="0"/>
        </w:rPr>
        <w:t>Part C — Judgment:</w:t>
      </w:r>
      <w:r>
        <w:rPr>
          <w:b w:val="0"/>
          <w:i w:val="0"/>
        </w:rPr>
        <w:t xml:space="preserve"> Propose a routing rule and an exception that could defeat it. Explain which evidence would cause you to revise your recommendation.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Architecture, Model Size, and BloombergGPT Decision Analysis</w:t>
      </w:r>
    </w:p>
    <w:p>
      <w:pPr>
        <w:pStyle w:val="Submission"/>
        <w:ind w:left="144" w:right="144"/>
        <w:shd w:fill="EAF3E5"/>
      </w:pPr>
      <w:r>
        <w:rPr>
          <w:b w:val="0"/>
          <w:i w:val="0"/>
        </w:rPr>
        <w:t>Type: Applied analysis. Points: 25. Submit one PDF or DOCX to Week 2 Assignment 2. Aim for 600–800 words of analysis plus the requested matrix, diagram, prompts, or evidence appendix; these artifacts are not included in the word guide.</w:t>
      </w:r>
    </w:p>
    <w:p>
      <w:pPr/>
      <w:r>
        <w:rPr>
          <w:b w:val="0"/>
          <w:i w:val="0"/>
        </w:rPr>
        <w:t xml:space="preserve">Use </w:t>
      </w:r>
      <w:r>
        <w:rPr>
          <w:b/>
          <w:i w:val="0"/>
        </w:rPr>
        <w:t>Bloomberg's Domain-Specific Financial Model</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Analyze Bloomberg’s Domain-Specific Financial Model as presented in Chapter 2. Distinguish benefits attributable to domain data from those attributable to parameter count.</w:t>
      </w:r>
    </w:p>
    <w:p>
      <w:pPr>
        <w:pStyle w:val="ListNumber"/>
        <w:numPr>
          <w:ilvl w:val="0"/>
          <w:numId w:val="82"/>
        </w:numPr>
      </w:pPr>
      <w:r>
        <w:rPr>
          <w:b w:val="0"/>
          <w:i w:val="0"/>
        </w:rPr>
        <w:t>Compare a domain-specialized model with a general model for two financial tasks. Build a decision matrix with capability fit, context needs, cost, latency, and evidence gaps; label assumptions rather than invent benchmark scores.</w:t>
      </w:r>
    </w:p>
    <w:p>
      <w:pPr>
        <w:pStyle w:val="ListNumber"/>
        <w:numPr>
          <w:ilvl w:val="0"/>
          <w:numId w:val="83"/>
        </w:numPr>
      </w:pPr>
      <w:r>
        <w:rPr>
          <w:b w:val="0"/>
          <w:i w:val="0"/>
        </w:rPr>
        <w:t>Trace one simple and one difficult request through a proposed model router. Explain a possible misrouting and its consequence.</w:t>
      </w:r>
    </w:p>
    <w:p>
      <w:pPr>
        <w:pStyle w:val="ListNumber"/>
        <w:numPr>
          <w:ilvl w:val="0"/>
          <w:numId w:val="84"/>
        </w:numPr>
      </w:pPr>
      <w:r>
        <w:rPr>
          <w:b w:val="0"/>
          <w:i w:val="0"/>
        </w:rPr>
        <w:t>Make a recommendation for a research-assistant domain and identify an evaluation that could disprove it. Connect the argument to your Week 1 comparison evidence.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2: Model Selection Memo</w:t>
      </w:r>
    </w:p>
    <w:p>
      <w:pPr>
        <w:pStyle w:val="Submission"/>
        <w:ind w:left="144" w:right="144"/>
        <w:shd w:fill="EAF3E5"/>
      </w:pPr>
      <w:r>
        <w:rPr>
          <w:b w:val="0"/>
          <w:i w:val="0"/>
        </w:rPr>
        <w:t>Type: Project portfolio milestone. Points: 15. Submit a PDF or DOCX to Week 2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Model Selection Memo</w:t>
      </w:r>
      <w:r>
        <w:rPr>
          <w:b w:val="0"/>
          <w:i w:val="0"/>
        </w:rPr>
        <w:t xml:space="preserve"> to your project portfolio. In one to two pages:</w:t>
      </w:r>
    </w:p>
    <w:p>
      <w:pPr>
        <w:pStyle w:val="ListNumber"/>
        <w:numPr>
          <w:ilvl w:val="0"/>
          <w:numId w:val="85"/>
        </w:numPr>
      </w:pPr>
      <w:r>
        <w:rPr>
          <w:b/>
          <w:i w:val="0"/>
        </w:rPr>
        <w:t>Candidate models</w:t>
      </w:r>
      <w:r>
        <w:rPr>
          <w:b w:val="0"/>
          <w:i w:val="0"/>
        </w:rPr>
        <w:t>: Name 2–3 models or model families you'd realistically consider for your assistant, spanning at least two tiers of capability/cost.</w:t>
      </w:r>
    </w:p>
    <w:p>
      <w:pPr>
        <w:pStyle w:val="ListNumber"/>
        <w:numPr>
          <w:ilvl w:val="0"/>
          <w:numId w:val="85"/>
        </w:numPr>
      </w:pPr>
      <w:r>
        <w:rPr>
          <w:b/>
          <w:i w:val="0"/>
        </w:rPr>
        <w:t>Comparison</w:t>
      </w:r>
      <w:r>
        <w:rPr>
          <w:b w:val="0"/>
          <w:i w:val="0"/>
        </w:rPr>
        <w:t>: For each candidate, assess capability fit, context window, approximate cost, and latency against your project's actual requirements from the Chapter 1 charter.</w:t>
      </w:r>
    </w:p>
    <w:p>
      <w:pPr>
        <w:pStyle w:val="ListNumber"/>
        <w:numPr>
          <w:ilvl w:val="0"/>
          <w:numId w:val="85"/>
        </w:numPr>
      </w:pPr>
      <w:r>
        <w:rPr>
          <w:b/>
          <w:i w:val="0"/>
        </w:rPr>
        <w:t>Recommendation</w:t>
      </w:r>
      <w:r>
        <w:rPr>
          <w:b w:val="0"/>
          <w:i w:val="0"/>
        </w:rPr>
        <w:t xml:space="preserve">: State which model you'd use for the </w:t>
      </w:r>
      <w:r>
        <w:rPr>
          <w:b w:val="0"/>
          <w:i/>
        </w:rPr>
        <w:t>majority</w:t>
      </w:r>
      <w:r>
        <w:rPr>
          <w:b w:val="0"/>
          <w:i w:val="0"/>
        </w:rPr>
        <w:t xml:space="preserve"> of your assistant's traffic, and which (if any) you'd reserve for harder queries, with reasoning grounded in this chapter's architecture and training discussion, not just vendor marketing claims.</w:t>
      </w:r>
    </w:p>
    <w:p>
      <w:pPr>
        <w:pStyle w:val="ListNumber"/>
        <w:numPr>
          <w:ilvl w:val="0"/>
          <w:numId w:val="85"/>
        </w:numPr>
      </w:pPr>
      <w:r>
        <w:rPr>
          <w:b/>
          <w:i w:val="0"/>
        </w:rPr>
        <w:t>Open question</w:t>
      </w:r>
      <w:r>
        <w:rPr>
          <w:b w:val="0"/>
          <w:i w:val="0"/>
        </w:rPr>
        <w:t>: Name one thing about your domain that makes this decision genuinely uncertain, the honest kind of uncertainty a real engineering team would flag, not a rhetorical one.</w:t>
      </w:r>
    </w:p>
    <w:p>
      <w:pPr>
        <w:pStyle w:val="Heading4"/>
      </w:pPr>
      <w:r>
        <w:rPr>
          <w:b w:val="0"/>
          <w:i w:val="0"/>
        </w:rPr>
        <w:t>What Makes a Strong Milestone</w:t>
      </w:r>
    </w:p>
    <w:p>
      <w:pPr/>
      <w:r>
        <w:rPr>
          <w:b w:val="0"/>
          <w:i w:val="0"/>
        </w:rPr>
        <w:t xml:space="preserve">A strong </w:t>
      </w:r>
      <w:r>
        <w:rPr>
          <w:b/>
          <w:i w:val="0"/>
        </w:rPr>
        <w:t>Model Selection Memo</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Candidate models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Comparison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Recommendation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Open question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2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Is a More Capable Model Actually Worth It?</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Architecture, Model Size, and BloombergGPT Decision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Model Selection Memo</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Model Selection Memo</w:t>
      </w:r>
      <w:r>
        <w:rPr>
          <w:b w:val="0"/>
          <w:i w:val="0"/>
        </w:rPr>
        <w:t xml:space="preserve"> becomes part 2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2 Module Guide</w:t>
    </w:r>
  </w:p>
  <w:p>
    <w:pPr>
      <w:pStyle w:val="Footer"/>
    </w:pPr>
    <w:r>
      <w:t>The Architecture of Understanding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2-llms.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