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b w:val="0"/>
          <w:i w:val="0"/>
        </w:rPr>
        <w:t>GENERATIVE AI</w:t>
      </w:r>
    </w:p>
    <w:p>
      <w:pPr/>
      <w:r>
        <w:rPr>
          <w:b w:val="0"/>
          <w:i w:val="0"/>
        </w:rPr>
        <w:t>Graduate Course | First Open Edition</w:t>
      </w:r>
    </w:p>
    <w:p>
      <w:pPr>
        <w:pStyle w:val="Title"/>
      </w:pPr>
      <w:r>
        <w:rPr>
          <w:b w:val="0"/>
          <w:i w:val="0"/>
        </w:rPr>
        <w:t>Week 3 Module Guide</w:t>
      </w:r>
    </w:p>
    <w:p>
      <w:pPr>
        <w:pStyle w:val="Heading2"/>
      </w:pPr>
      <w:r>
        <w:rPr>
          <w:b w:val="0"/>
          <w:i w:val="0"/>
        </w:rPr>
        <w:t>The Art and Science of Prompting</w:t>
      </w:r>
    </w:p>
    <w:p>
      <w:pPr/>
      <w:r>
        <w:rPr>
          <w:b/>
          <w:i w:val="0"/>
        </w:rPr>
        <w:t>Chapter:</w:t>
      </w:r>
      <w:r>
        <w:rPr>
          <w:b w:val="0"/>
          <w:i w:val="0"/>
        </w:rPr>
        <w:t xml:space="preserve"> Chapter 3: The Art and Science of Prompting</w:t>
      </w:r>
    </w:p>
    <w:p>
      <w:pPr/>
      <w:r>
        <w:rPr>
          <w:b/>
          <w:i w:val="0"/>
        </w:rPr>
        <w:t>Project:</w:t>
      </w:r>
      <w:r>
        <w:rPr>
          <w:b w:val="0"/>
          <w:i w:val="0"/>
        </w:rPr>
        <w:t xml:space="preserve"> Prompt Library v1</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3 Introduction &amp; Objectives</w:t>
      </w:r>
    </w:p>
    <w:p>
      <w:pPr>
        <w:pStyle w:val="Heading4"/>
      </w:pPr>
      <w:r>
        <w:rPr>
          <w:b w:val="0"/>
          <w:i w:val="0"/>
        </w:rPr>
        <w:t>Module Introduction</w:t>
      </w:r>
    </w:p>
    <w:p>
      <w:pPr/>
      <w:r>
        <w:rPr>
          <w:b w:val="0"/>
          <w:i w:val="0"/>
        </w:rPr>
        <w:t>Welcome to the art and science of prompt engineering—the critical skill that transforms generic AI models into powerful, specialized tools. While the previous chapters focused on understanding and selecting the right models, this chapter is about learning to communicate effectively with those models to achieve precise, reliable, and high-quality results.</w:t>
      </w:r>
    </w:p>
    <w:p>
      <w:pPr/>
      <w:r>
        <w:rPr>
          <w:b w:val="0"/>
          <w:i w:val="0"/>
        </w:rPr>
        <w:t>Prompt engineering is often described as the "new programming language" of the AI era. Just as traditional programming requires understanding syntax, logic, and best practices, prompt engineering requires understanding how to structure requests, provide context, and guide model behavior to achieve desired outcomes.</w:t>
      </w:r>
    </w:p>
    <w:p>
      <w:pPr/>
      <w:r>
        <w:rPr>
          <w:b w:val="0"/>
          <w:i w:val="0"/>
        </w:rPr>
        <w:t>In this chapter, you'll master the fundamental techniques that separate novice AI users from experts: few-shot learning, chain-of-thought prompting, prompt templates, and safety considerations. You'll enhance your research assistant with a sophisticated prompt management system that can automatically select and optimize prompts based on the type of research query being processed.</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Design task-specific prompts with explicit role, context, task, format, and constraints.</w:t>
            </w:r>
          </w:p>
        </w:tc>
        <w:tc>
          <w:tcPr>
            <w:tcW w:type="dxa" w:w="2280"/>
            <w:vAlign w:val="top"/>
            <w:shd w:fill="EAF2FA"/>
          </w:tcPr>
          <w:p>
            <w:pPr>
              <w:pStyle w:val="TableText"/>
            </w:pPr>
            <w:r>
              <w:rPr>
                <w:b w:val="0"/>
                <w:i w:val="0"/>
              </w:rPr>
              <w:t>CO 2 / PSLOs 2, 3</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Analysis</w:t>
            </w:r>
          </w:p>
        </w:tc>
        <w:tc>
          <w:tcPr>
            <w:tcW w:type="dxa" w:w="5900"/>
            <w:vAlign w:val="top"/>
            <w:shd w:fill="F5F8FB"/>
          </w:tcPr>
          <w:p>
            <w:pPr>
              <w:pStyle w:val="TableText"/>
            </w:pPr>
            <w:r>
              <w:rPr>
                <w:b w:val="0"/>
                <w:i w:val="0"/>
              </w:rPr>
              <w:t>Compare zero-shot and few-shot prompt behavior with controlled inputs.</w:t>
            </w:r>
          </w:p>
        </w:tc>
        <w:tc>
          <w:tcPr>
            <w:tcW w:type="dxa" w:w="2280"/>
            <w:vAlign w:val="top"/>
            <w:shd w:fill="F5F8FB"/>
          </w:tcPr>
          <w:p>
            <w:pPr>
              <w:pStyle w:val="TableText"/>
            </w:pPr>
            <w:r>
              <w:rPr>
                <w:b w:val="0"/>
                <w:i w:val="0"/>
              </w:rPr>
              <w:t>CO 3 / PSLOs 3, 4</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Develop reusable prompt templates for distinct research-assistant requests.</w:t>
            </w:r>
          </w:p>
        </w:tc>
        <w:tc>
          <w:tcPr>
            <w:tcW w:type="dxa" w:w="2280"/>
            <w:vAlign w:val="top"/>
            <w:shd w:fill="EAF2FA"/>
          </w:tcPr>
          <w:p>
            <w:pPr>
              <w:pStyle w:val="TableText"/>
            </w:pPr>
            <w:r>
              <w:rPr>
                <w:b w:val="0"/>
                <w:i w:val="0"/>
              </w:rPr>
              <w:t>CO 2 / PSLOs 2, 3</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Evaluate prompt quality with stated criteria and an honest failure example.</w:t>
            </w:r>
          </w:p>
        </w:tc>
        <w:tc>
          <w:tcPr>
            <w:tcW w:type="dxa" w:w="2280"/>
            <w:vAlign w:val="top"/>
            <w:shd w:fill="F5F8FB"/>
          </w:tcPr>
          <w:p>
            <w:pPr>
              <w:pStyle w:val="TableText"/>
            </w:pPr>
            <w:r>
              <w:rPr>
                <w:b w:val="0"/>
                <w:i w:val="0"/>
              </w:rPr>
              <w:t>CO 3 / PSLOs 3, 4</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Assess a prompt-injection risk and justify a concrete defensive boundary.</w:t>
            </w:r>
          </w:p>
        </w:tc>
        <w:tc>
          <w:tcPr>
            <w:tcW w:type="dxa" w:w="2280"/>
            <w:vAlign w:val="top"/>
            <w:shd w:fill="EAF2FA"/>
          </w:tcPr>
          <w:p>
            <w:pPr>
              <w:pStyle w:val="TableText"/>
            </w:pPr>
            <w:r>
              <w:rPr>
                <w:b w:val="0"/>
                <w:i w:val="0"/>
              </w:rPr>
              <w:t>CO 4 / PSLOs 5</w:t>
            </w:r>
          </w:p>
        </w:tc>
      </w:tr>
    </w:tbl>
    <w:p>
      <w:pPr>
        <w:pStyle w:val="Heading4"/>
      </w:pPr>
      <w:r>
        <w:rPr>
          <w:b w:val="0"/>
          <w:i w:val="0"/>
        </w:rPr>
        <w:t>Approved CO / PSLO Alignment</w:t>
      </w:r>
    </w:p>
    <w:p>
      <w:pPr/>
      <w:r>
        <w:rPr>
          <w:b w:val="0"/>
          <w:i w:val="0"/>
        </w:rPr>
        <w:t xml:space="preserve">This week emphasizes </w:t>
      </w:r>
      <w:r>
        <w:rPr>
          <w:b/>
          <w:i w:val="0"/>
        </w:rPr>
        <w:t>CO 2, CO 3, CO 4 / PSLOs 2, 3, 4, 5</w:t>
      </w:r>
      <w:r>
        <w:rPr>
          <w:b w:val="0"/>
          <w:i w:val="0"/>
        </w:rPr>
        <w:t>. Each objective uses only the approved CO-to-PSLO mapping; a PSLO code indicates curricular alignment, not that this single week independently demonstrates the entire program outcome.</w:t>
      </w:r>
    </w:p>
    <w:p>
      <w:pPr/>
      <w:r>
        <w:rPr>
          <w:b/>
          <w:i w:val="0"/>
        </w:rPr>
        <w:t>CO 2:</w:t>
      </w:r>
      <w:r>
        <w:rPr>
          <w:b w:val="0"/>
          <w:i w:val="0"/>
        </w:rPr>
        <w:t xml:space="preserve"> Design and implement applications that leverage Large Language Models and generative AI techniques to solve complex computational problems.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4:</w:t>
      </w:r>
      <w:r>
        <w:rPr>
          <w:b w:val="0"/>
          <w:i w:val="0"/>
        </w:rPr>
        <w:t xml:space="preserve"> Assess ethical, societal, legal, and security considerations associated with the development and deployment of generative artificial intelligence systems.</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3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3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3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Prompt Library v1.</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80"/>
        </w:numPr>
      </w:pPr>
      <w:r>
        <w:rPr>
          <w:b w:val="0"/>
          <w:i w:val="0"/>
        </w:rPr>
        <w:t>Consult the due dates shown in Blackboard; the schedule above is not a deadline policy.</w:t>
      </w:r>
    </w:p>
    <w:p>
      <w:pPr>
        <w:pStyle w:val="ListBullet"/>
        <w:numPr>
          <w:ilvl w:val="0"/>
          <w:numId w:val="80"/>
        </w:numPr>
      </w:pPr>
      <w:r>
        <w:rPr>
          <w:b w:val="0"/>
          <w:i w:val="0"/>
        </w:rPr>
        <w:t>Keep one research-assistant domain and maintain a revision history for the same portfolio.</w:t>
      </w:r>
    </w:p>
    <w:p>
      <w:pPr>
        <w:pStyle w:val="ListBullet"/>
        <w:numPr>
          <w:ilvl w:val="0"/>
          <w:numId w:val="80"/>
        </w:numPr>
      </w:pPr>
      <w:r>
        <w:rPr>
          <w:b w:val="0"/>
          <w:i w:val="0"/>
        </w:rPr>
        <w:t>Cite sources for claims. Label measured results, scenario assumptions, and projected behavior distinctly.</w:t>
      </w:r>
    </w:p>
    <w:p>
      <w:pPr>
        <w:pStyle w:val="ListBullet"/>
        <w:numPr>
          <w:ilvl w:val="0"/>
          <w:numId w:val="80"/>
        </w:numPr>
      </w:pPr>
      <w:r>
        <w:rPr>
          <w:b w:val="0"/>
          <w:i w:val="0"/>
        </w:rPr>
        <w:t>Use public, synthetic, or appropriately authorized data. Keep credentials and private personal information out of submitted examples.</w:t>
      </w:r>
    </w:p>
    <w:p>
      <w:pPr>
        <w:pStyle w:val="ListBullet"/>
        <w:numPr>
          <w:ilvl w:val="0"/>
          <w:numId w:val="80"/>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3: The Art and Science of Prompting</w:t>
      </w:r>
      <w:r>
        <w:rPr>
          <w:b w:val="0"/>
          <w:i w:val="0"/>
        </w:rPr>
        <w:t>.</w:t>
      </w:r>
    </w:p>
    <w:p>
      <w:pPr/>
      <w:hyperlink r:id="rId11">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How Notion Built Its AI Writing Assistant</w:t>
      </w:r>
      <w:r>
        <w:rPr>
          <w:b w:val="0"/>
          <w:i w:val="0"/>
        </w:rPr>
        <w:t xml:space="preserve">, the wrap-up, and </w:t>
      </w:r>
      <w:r>
        <w:rPr>
          <w:b/>
          <w:i w:val="0"/>
        </w:rPr>
        <w:t>Project Milestone: Prompt Library v1</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5: Prompt Engineering</w:t>
      </w:r>
    </w:p>
    <w:p>
      <w:pPr/>
      <w:r>
        <w:rPr>
          <w:b w:val="0"/>
          <w:i w:val="0"/>
        </w:rPr>
        <w:t>Focus: Zero/few-shot learning, system/user prompts, context, prompt practices, evaluation, and defensive prompting.</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3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 xml:space="preserve">Author-listed starting point: </w:t>
      </w:r>
      <w:r>
        <w:rPr>
          <w:b/>
          <w:i w:val="0"/>
        </w:rPr>
        <w:t>Wei, J., et al. (2022). "Chain-of-Thought Prompting Elicits Reasoning in Large Language Models"</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3 Assignments</w:t>
      </w:r>
    </w:p>
    <w:p>
      <w:pPr/>
      <w:r>
        <w:rPr>
          <w:b w:val="0"/>
          <w:i w:val="0"/>
        </w:rPr>
        <w:t xml:space="preserve">The discussion develops a judgment about </w:t>
      </w:r>
      <w:r>
        <w:rPr>
          <w:b/>
          <w:i w:val="0"/>
        </w:rPr>
        <w:t>Is Better Prompting a Substitute for a Better Model</w:t>
      </w:r>
      <w:r>
        <w:rPr>
          <w:b w:val="0"/>
          <w:i w:val="0"/>
        </w:rPr>
        <w:t>. The applied work tests that judgment against How Notion Built Its AI Writing Assistant. The milestone carries the evidence into Prompt Library v1.</w:t>
      </w:r>
    </w:p>
    <w:p>
      <w:pPr>
        <w:pStyle w:val="Heading3"/>
      </w:pPr>
      <w:r>
        <w:rPr>
          <w:b w:val="0"/>
          <w:i w:val="0"/>
        </w:rPr>
        <w:t>Assignment 1 — Is Better Prompting a Substitute for a Better Model?</w:t>
      </w:r>
    </w:p>
    <w:p>
      <w:pPr>
        <w:pStyle w:val="Submission"/>
        <w:ind w:left="144" w:right="144"/>
        <w:shd w:fill="EAF3E5"/>
      </w:pPr>
      <w:r>
        <w:rPr>
          <w:b w:val="0"/>
          <w:i w:val="0"/>
        </w:rPr>
        <w:t>Type: Discussion Board. Points: 10. Submit one initial post and two peer responses in the Week 3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Choose one task your assistant performs poorly. Decide whether its limiting factor is the prompt, the model, or missing knowledge.</w:t>
      </w:r>
    </w:p>
    <w:p>
      <w:pPr/>
      <w:r>
        <w:rPr>
          <w:b/>
          <w:i w:val="0"/>
        </w:rPr>
        <w:t>Part B — Comparison:</w:t>
      </w:r>
      <w:r>
        <w:rPr>
          <w:b w:val="0"/>
          <w:i w:val="0"/>
        </w:rPr>
        <w:t xml:space="preserve"> Compare a more deliberate prompt with changing models. Specify a common input and evaluation criterion that make the comparison fair.</w:t>
      </w:r>
    </w:p>
    <w:p>
      <w:pPr/>
      <w:r>
        <w:rPr>
          <w:b/>
          <w:i w:val="0"/>
        </w:rPr>
        <w:t>Part C — Judgment:</w:t>
      </w:r>
      <w:r>
        <w:rPr>
          <w:b w:val="0"/>
          <w:i w:val="0"/>
        </w:rPr>
        <w:t xml:space="preserve"> Explain how a prompt-injection attempt could change your recommendation. Identify a limitation prompting alone cannot resolve.</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3</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2</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2</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10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Prompt Redesign, Few-Shot Comparison, and Injection Test</w:t>
      </w:r>
    </w:p>
    <w:p>
      <w:pPr>
        <w:pStyle w:val="Submission"/>
        <w:ind w:left="144" w:right="144"/>
        <w:shd w:fill="EAF3E5"/>
      </w:pPr>
      <w:r>
        <w:rPr>
          <w:b w:val="0"/>
          <w:i w:val="0"/>
        </w:rPr>
        <w:t>Type: Applied analysis. Points: 25. Submit one PDF or DOCX to Week 3 Assignment 2. Aim for 600–800 words of analysis plus the requested matrix, diagram, prompts, or evidence appendix; these artifacts are not included in the word guide.</w:t>
      </w:r>
    </w:p>
    <w:p>
      <w:pPr/>
      <w:r>
        <w:rPr>
          <w:b w:val="0"/>
          <w:i w:val="0"/>
        </w:rPr>
        <w:t xml:space="preserve">Use </w:t>
      </w:r>
      <w:r>
        <w:rPr>
          <w:b/>
          <w:i w:val="0"/>
        </w:rPr>
        <w:t>How Notion Built Its AI Writing Assistant</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81"/>
        </w:numPr>
      </w:pPr>
      <w:r>
        <w:rPr>
          <w:b w:val="0"/>
          <w:i w:val="0"/>
        </w:rPr>
        <w:t>Use the Notion writing-assistant case to select two distinct task types that should not share one generic instruction. Explain why separation matters.</w:t>
      </w:r>
    </w:p>
    <w:p>
      <w:pPr>
        <w:pStyle w:val="ListNumber"/>
        <w:numPr>
          <w:ilvl w:val="0"/>
          <w:numId w:val="82"/>
        </w:numPr>
      </w:pPr>
      <w:r>
        <w:rPr>
          <w:b w:val="0"/>
          <w:i w:val="0"/>
        </w:rPr>
        <w:t>Write a baseline and revised prompt using role, context, task, format, and constraints. Compare zero-shot with few-shot behavior on the same three safe test inputs, keeping the model and other settings fixed where possible.</w:t>
      </w:r>
    </w:p>
    <w:p>
      <w:pPr>
        <w:pStyle w:val="ListNumber"/>
        <w:numPr>
          <w:ilvl w:val="0"/>
          <w:numId w:val="83"/>
        </w:numPr>
      </w:pPr>
      <w:r>
        <w:rPr>
          <w:b w:val="0"/>
          <w:i w:val="0"/>
        </w:rPr>
        <w:t>Create one harmless injection test against your own draft prompt. Record the input, observed or explicitly projected response, and the boundary it tests; use synthetic data.</w:t>
      </w:r>
    </w:p>
    <w:p>
      <w:pPr>
        <w:pStyle w:val="ListNumber"/>
        <w:numPr>
          <w:ilvl w:val="0"/>
          <w:numId w:val="84"/>
        </w:numPr>
      </w:pPr>
      <w:r>
        <w:rPr>
          <w:b w:val="0"/>
          <w:i w:val="0"/>
        </w:rPr>
        <w:t>Evaluate results with a small, stated rubric. Recommend a revision and explain a remaining failure. Label projected responses clearly and do not present them as measured results.</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8</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2</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25</w:t>
            </w:r>
          </w:p>
        </w:tc>
      </w:tr>
    </w:tbl>
    <w:p>
      <w:r>
        <w:br w:type="page"/>
      </w:r>
    </w:p>
    <w:p>
      <w:pPr>
        <w:pStyle w:val="Heading3"/>
      </w:pPr>
      <w:r>
        <w:rPr>
          <w:b w:val="0"/>
          <w:i w:val="0"/>
        </w:rPr>
        <w:t>Assignment 3 — Research Assistant Milestone 3: Prompt Library v1</w:t>
      </w:r>
    </w:p>
    <w:p>
      <w:pPr>
        <w:pStyle w:val="Submission"/>
        <w:ind w:left="144" w:right="144"/>
        <w:shd w:fill="EAF3E5"/>
      </w:pPr>
      <w:r>
        <w:rPr>
          <w:b w:val="0"/>
          <w:i w:val="0"/>
        </w:rPr>
        <w:t>Type: Project portfolio milestone. Points: 15. Submit a PDF or DOCX to Week 3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 </w:t>
      </w:r>
      <w:r>
        <w:rPr>
          <w:b/>
          <w:i w:val="0"/>
        </w:rPr>
        <w:t>Prompt Library v1</w:t>
      </w:r>
      <w:r>
        <w:rPr>
          <w:b w:val="0"/>
          <w:i w:val="0"/>
        </w:rPr>
        <w:t xml:space="preserve"> to your project portfolio:</w:t>
      </w:r>
    </w:p>
    <w:p>
      <w:pPr>
        <w:pStyle w:val="ListNumber"/>
        <w:numPr>
          <w:ilvl w:val="0"/>
          <w:numId w:val="85"/>
        </w:numPr>
      </w:pPr>
      <w:r>
        <w:rPr>
          <w:b/>
          <w:i w:val="0"/>
        </w:rPr>
        <w:t>System prompt</w:t>
      </w:r>
      <w:r>
        <w:rPr>
          <w:b w:val="0"/>
          <w:i w:val="0"/>
        </w:rPr>
        <w:t>: The full text of your assistant's system prompt, plus 2–3 sentences justifying the role, tone, and constraints you chose.</w:t>
      </w:r>
    </w:p>
    <w:p>
      <w:pPr>
        <w:pStyle w:val="ListNumber"/>
        <w:numPr>
          <w:ilvl w:val="0"/>
          <w:numId w:val="85"/>
        </w:numPr>
      </w:pPr>
      <w:r>
        <w:rPr>
          <w:b/>
          <w:i w:val="0"/>
        </w:rPr>
        <w:t>3–5 task prompts</w:t>
      </w:r>
      <w:r>
        <w:rPr>
          <w:b w:val="0"/>
          <w:i w:val="0"/>
        </w:rPr>
        <w:t>: The full text of each, covering the distinct request types your assistant needs to handle.</w:t>
      </w:r>
    </w:p>
    <w:p>
      <w:pPr>
        <w:pStyle w:val="ListNumber"/>
        <w:numPr>
          <w:ilvl w:val="0"/>
          <w:numId w:val="85"/>
        </w:numPr>
      </w:pPr>
      <w:r>
        <w:rPr>
          <w:b/>
          <w:i w:val="0"/>
        </w:rPr>
        <w:t>One worked test</w:t>
      </w:r>
      <w:r>
        <w:rPr>
          <w:b w:val="0"/>
          <w:i w:val="0"/>
        </w:rPr>
        <w:t>: For at least one prompt, show a typical input, the response it produced (real or realistically projected), and one honest note on where it still falls short.</w:t>
      </w:r>
    </w:p>
    <w:p>
      <w:pPr>
        <w:pStyle w:val="ListNumber"/>
        <w:numPr>
          <w:ilvl w:val="0"/>
          <w:numId w:val="85"/>
        </w:numPr>
      </w:pPr>
      <w:r>
        <w:rPr>
          <w:b/>
          <w:i w:val="0"/>
        </w:rPr>
        <w:t>Adversarial check</w:t>
      </w:r>
      <w:r>
        <w:rPr>
          <w:b w:val="0"/>
          <w:i w:val="0"/>
        </w:rPr>
        <w:t>: Briefly describe one prompt-injection attempt you tested against your system prompt, and what happened.</w:t>
      </w:r>
    </w:p>
    <w:p>
      <w:pPr>
        <w:pStyle w:val="Heading4"/>
      </w:pPr>
      <w:r>
        <w:rPr>
          <w:b w:val="0"/>
          <w:i w:val="0"/>
        </w:rPr>
        <w:t>What Makes a Strong Milestone</w:t>
      </w:r>
    </w:p>
    <w:p>
      <w:pPr/>
      <w:r>
        <w:rPr>
          <w:b w:val="0"/>
          <w:i w:val="0"/>
        </w:rPr>
        <w:t xml:space="preserve">A strong </w:t>
      </w:r>
      <w:r>
        <w:rPr>
          <w:b/>
          <w:i w:val="0"/>
        </w:rPr>
        <w:t>Prompt Library v1</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System prompt</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4</w:t>
            </w:r>
          </w:p>
        </w:tc>
      </w:tr>
      <w:tr>
        <w:trPr>
          <w:cantSplit/>
        </w:trPr>
        <w:tc>
          <w:tcPr>
            <w:tcW w:type="dxa" w:w="2550"/>
            <w:vAlign w:val="top"/>
            <w:shd w:fill="F5F8FB"/>
          </w:tcPr>
          <w:p>
            <w:pPr>
              <w:pStyle w:val="TableText"/>
            </w:pPr>
            <w:r>
              <w:rPr>
                <w:b w:val="0"/>
                <w:i w:val="0"/>
              </w:rPr>
              <w:t>3–5 task prompts</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One worked test</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Adversarial check</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15</w:t>
            </w:r>
          </w:p>
        </w:tc>
      </w:tr>
    </w:tbl>
    <w:p>
      <w:r>
        <w:br w:type="page"/>
      </w:r>
    </w:p>
    <w:p>
      <w:pPr>
        <w:pStyle w:val="Heading3"/>
      </w:pPr>
      <w:r>
        <w:rPr>
          <w:b w:val="0"/>
          <w:i w:val="0"/>
        </w:rPr>
        <w:t>Week 3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Is Better Prompting a Substitute for a Better Model?</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10</w:t>
            </w:r>
          </w:p>
        </w:tc>
      </w:tr>
      <w:tr>
        <w:trPr>
          <w:cantSplit/>
        </w:trPr>
        <w:tc>
          <w:tcPr>
            <w:tcW w:type="dxa" w:w="4450"/>
            <w:vAlign w:val="top"/>
            <w:shd w:fill="F5F8FB"/>
          </w:tcPr>
          <w:p>
            <w:pPr>
              <w:pStyle w:val="TableText"/>
            </w:pPr>
            <w:r>
              <w:rPr>
                <w:b w:val="0"/>
                <w:i w:val="0"/>
              </w:rPr>
              <w:t>Prompt Redesign, Few-Shot Comparison, and Injection Test</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25</w:t>
            </w:r>
          </w:p>
        </w:tc>
      </w:tr>
      <w:tr>
        <w:trPr>
          <w:cantSplit/>
        </w:trPr>
        <w:tc>
          <w:tcPr>
            <w:tcW w:type="dxa" w:w="4450"/>
            <w:vAlign w:val="top"/>
            <w:shd w:fill="EAF2FA"/>
          </w:tcPr>
          <w:p>
            <w:pPr>
              <w:pStyle w:val="TableText"/>
            </w:pPr>
            <w:r>
              <w:rPr>
                <w:b w:val="0"/>
                <w:i w:val="0"/>
              </w:rPr>
              <w:t>Prompt Library v1</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15</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50</w:t>
            </w:r>
          </w:p>
        </w:tc>
      </w:tr>
    </w:tbl>
    <w:p>
      <w:pPr>
        <w:pStyle w:val="Heading4"/>
      </w:pPr>
      <w:r>
        <w:rPr>
          <w:b w:val="0"/>
          <w:i w:val="0"/>
        </w:rPr>
        <w:t>Before You Submit</w:t>
      </w:r>
    </w:p>
    <w:p>
      <w:pPr>
        <w:pStyle w:val="ListBullet"/>
        <w:numPr>
          <w:ilvl w:val="0"/>
          <w:numId w:val="86"/>
        </w:numPr>
      </w:pPr>
      <w:r>
        <w:rPr>
          <w:b w:val="0"/>
          <w:i w:val="0"/>
        </w:rPr>
        <w:t>Check that each required prompt component is visibly addressed, using descriptive headings.</w:t>
      </w:r>
    </w:p>
    <w:p>
      <w:pPr>
        <w:pStyle w:val="ListBullet"/>
        <w:numPr>
          <w:ilvl w:val="0"/>
          <w:numId w:val="86"/>
        </w:numPr>
      </w:pPr>
      <w:r>
        <w:rPr>
          <w:b w:val="0"/>
          <w:i w:val="0"/>
        </w:rPr>
        <w:t>Match the discussion claim to the analysis evidence and the portfolio decision. Explain a disagreement rather than hiding it.</w:t>
      </w:r>
    </w:p>
    <w:p>
      <w:pPr>
        <w:pStyle w:val="ListBullet"/>
        <w:numPr>
          <w:ilvl w:val="0"/>
          <w:numId w:val="86"/>
        </w:numPr>
      </w:pPr>
      <w:r>
        <w:rPr>
          <w:b w:val="0"/>
          <w:i w:val="0"/>
        </w:rPr>
        <w:t>Keep references traceable: name the chapter or section, identify external sources, and date time-sensitive evidence.</w:t>
      </w:r>
    </w:p>
    <w:p>
      <w:pPr>
        <w:pStyle w:val="ListBullet"/>
        <w:numPr>
          <w:ilvl w:val="0"/>
          <w:numId w:val="86"/>
        </w:numPr>
      </w:pPr>
      <w:r>
        <w:rPr>
          <w:b w:val="0"/>
          <w:i w:val="0"/>
        </w:rPr>
        <w:t>Confirm that diagrams and tables are readable and that the submitted files open normally.</w:t>
      </w:r>
    </w:p>
    <w:p>
      <w:pPr>
        <w:pStyle w:val="ListBullet"/>
        <w:numPr>
          <w:ilvl w:val="0"/>
          <w:numId w:val="86"/>
        </w:numPr>
      </w:pPr>
      <w:r>
        <w:rPr>
          <w:b w:val="0"/>
          <w:i w:val="0"/>
        </w:rPr>
        <w:t>Label assumptions, illustrative examples, measured observations, and projections consistently.</w:t>
      </w:r>
    </w:p>
    <w:p>
      <w:pPr>
        <w:pStyle w:val="ListBullet"/>
        <w:numPr>
          <w:ilvl w:val="0"/>
          <w:numId w:val="86"/>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Prompt Library v1</w:t>
      </w:r>
      <w:r>
        <w:rPr>
          <w:b w:val="0"/>
          <w:i w:val="0"/>
        </w:rPr>
        <w:t xml:space="preserve"> becomes part 3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sectPr w:rsidR="00FC693F" w:rsidRPr="0006063C" w:rsidSect="00034616">
      <w:footerReference w:type="default" r:id="rId9"/>
      <w:headerReference w:type="default" r:id="rId10"/>
      <w:pgSz w:w="12240" w:h="15840"/>
      <w:pgMar w:top="1080" w:right="1080" w:bottom="1080" w:left="1080" w:header="432" w:footer="461"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3 Module Guide</w:t>
    </w:r>
  </w:p>
  <w:p>
    <w:pPr>
      <w:pStyle w:val="Footer"/>
    </w:pPr>
    <w:r>
      <w:t>The Art and Science of Prompting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70">
    <w:multiLevelType w:val="singleLevel"/>
    <w:lvl w:ilvl="0">
      <w:start w:val="1"/>
      <w:numFmt w:val="bullet"/>
      <w:lvlText w:val="•"/>
      <w:suff w:val="space"/>
      <w:lvlJc w:val="left"/>
      <w:pPr>
        <w:tabs>
          <w:tab w:val="num" w:pos="360"/>
        </w:tabs>
        <w:ind w:left="360" w:hanging="180"/>
      </w:pPr>
    </w:lvl>
  </w:abstractNum>
  <w:abstractNum w:abstractNumId="71">
    <w:multiLevelType w:val="singleLevel"/>
    <w:lvl w:ilvl="0">
      <w:start w:val="1"/>
      <w:numFmt w:val="decimal"/>
      <w:lvlText w:val="%1."/>
      <w:suff w:val="space"/>
      <w:lvlJc w:val="left"/>
      <w:pPr>
        <w:tabs>
          <w:tab w:val="num" w:pos="360"/>
        </w:tabs>
        <w:ind w:left="360" w:hanging="180"/>
      </w:pPr>
    </w:lvl>
  </w:abstractNum>
  <w:num w:numId="80">
    <w:abstractNumId w:val="70"/>
    <w:lvlOverride w:ilvl="0">
      <w:startOverride w:val="1"/>
    </w:lvlOverride>
  </w:num>
  <w:num w:numId="81">
    <w:abstractNumId w:val="71"/>
    <w:lvlOverride w:ilvl="0">
      <w:startOverride w:val="1"/>
    </w:lvlOverride>
  </w:num>
  <w:num w:numId="82">
    <w:abstractNumId w:val="71"/>
    <w:lvlOverride w:ilvl="0">
      <w:startOverride w:val="2"/>
    </w:lvlOverride>
  </w:num>
  <w:num w:numId="83">
    <w:abstractNumId w:val="71"/>
    <w:lvlOverride w:ilvl="0">
      <w:startOverride w:val="3"/>
    </w:lvlOverride>
  </w:num>
  <w:num w:numId="84">
    <w:abstractNumId w:val="71"/>
    <w:lvlOverride w:ilvl="0">
      <w:startOverride w:val="4"/>
    </w:lvlOverride>
  </w:num>
  <w:num w:numId="85">
    <w:abstractNumId w:val="71"/>
    <w:lvlOverride w:ilvl="0">
      <w:startOverride w:val="1"/>
    </w:lvlOverride>
  </w:num>
  <w:num w:numId="86">
    <w:abstractNumId w:val="7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Arial" w:hAnsi="Arial"/>
      <w:b w:val="0"/>
      <w:color w:val="202B38"/>
      <w:sz w:val="21"/>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59" w:lineRule="auto" w:before="0"/>
    </w:pPr>
    <w:rPr>
      <w:rFonts w:ascii="Arial" w:hAnsi="Arial"/>
      <w:b w:val="0"/>
      <w:color w:val="203864"/>
      <w:sz w:val="16"/>
      <w:rFonts w:ascii="Arial" w:hAnsi="Arial" w:eastAsia="Arial" w:cs="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120" w:line="259" w:lineRule="auto"/>
      <w:outlineLvl w:val="0"/>
    </w:pPr>
    <w:rPr>
      <w:rFonts w:asciiTheme="majorHAnsi" w:eastAsiaTheme="majorEastAsia" w:hAnsiTheme="majorHAnsi" w:cstheme="majorBidi" w:ascii="Arial" w:hAnsi="Arial"/>
      <w:b/>
      <w:bCs/>
      <w:color w:val="203864"/>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widowControl/>
      <w:spacing w:before="160" w:after="120" w:line="259" w:lineRule="auto"/>
      <w:outlineLvl w:val="1"/>
    </w:pPr>
    <w:rPr>
      <w:rFonts w:asciiTheme="majorHAnsi" w:eastAsiaTheme="majorEastAsia" w:hAnsiTheme="majorHAnsi" w:cstheme="majorBidi" w:ascii="Arial" w:hAnsi="Arial"/>
      <w:b/>
      <w:bCs/>
      <w:color w:val="2F65A0"/>
      <w:sz w:val="28"/>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widowControl/>
      <w:spacing w:before="160" w:after="120" w:line="259" w:lineRule="auto"/>
      <w:outlineLvl w:val="2"/>
    </w:pPr>
    <w:rPr>
      <w:rFonts w:asciiTheme="majorHAnsi" w:eastAsiaTheme="majorEastAsia" w:hAnsiTheme="majorHAnsi" w:cstheme="majorBidi" w:ascii="Arial" w:hAnsi="Arial"/>
      <w:b/>
      <w:bCs/>
      <w:color w:val="2F65A0"/>
      <w:sz w:val="24"/>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widowControl/>
      <w:spacing w:before="160" w:after="120" w:line="259" w:lineRule="auto"/>
      <w:outlineLvl w:val="3"/>
    </w:pPr>
    <w:rPr>
      <w:rFonts w:asciiTheme="majorHAnsi" w:eastAsiaTheme="majorEastAsia" w:hAnsiTheme="majorHAnsi" w:cstheme="majorBidi" w:ascii="Arial" w:hAnsi="Arial"/>
      <w:b/>
      <w:bCs/>
      <w:i/>
      <w:iCs/>
      <w:color w:val="2F65A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59" w:lineRule="auto" w:before="0"/>
      <w:contextualSpacing/>
    </w:pPr>
    <w:rPr>
      <w:rFonts w:asciiTheme="majorHAnsi" w:eastAsiaTheme="majorEastAsia" w:hAnsiTheme="majorHAnsi" w:cstheme="majorBidi" w:ascii="Arial" w:hAnsi="Arial"/>
      <w:b/>
      <w:color w:val="203864"/>
      <w:spacing w:val="5"/>
      <w:kern w:val="28"/>
      <w:sz w:val="44"/>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259" w:lineRule="auto"/>
    </w:pPr>
    <w:rPr>
      <w:rFonts w:asciiTheme="majorHAnsi" w:eastAsiaTheme="majorEastAsia" w:hAnsiTheme="majorHAnsi" w:cstheme="majorBidi" w:ascii="Arial" w:hAnsi="Arial"/>
      <w:b w:val="0"/>
      <w:i/>
      <w:iCs/>
      <w:color w:val="202B38"/>
      <w:spacing w:val="15"/>
      <w:sz w:val="24"/>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100" w:line="259" w:lineRule="auto"/>
      <w:contextualSpacing/>
    </w:pPr>
    <w:rPr>
      <w:rFonts w:ascii="Arial" w:hAnsi="Arial"/>
      <w:b w:val="0"/>
      <w:color w:val="202B38"/>
      <w:sz w:val="21"/>
      <w:rFonts w:ascii="Arial" w:hAnsi="Arial" w:eastAsia="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100" w:line="259" w:lineRule="auto"/>
      <w:contextualSpacing/>
    </w:pPr>
    <w:rPr>
      <w:rFonts w:ascii="Arial" w:hAnsi="Arial"/>
      <w:b w:val="0"/>
      <w:color w:val="202B38"/>
      <w:sz w:val="21"/>
      <w:rFonts w:ascii="Arial" w:hAnsi="Arial" w:eastAsia="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widowControl/>
      <w:spacing w:before="0" w:after="100" w:line="259" w:lineRule="auto"/>
    </w:pPr>
    <w:rPr>
      <w:rFonts w:ascii="Arial" w:hAnsi="Arial"/>
      <w:b/>
      <w:color w:val="2F65A0"/>
      <w:sz w:val="22"/>
      <w:rFonts w:ascii="Arial" w:hAnsi="Arial" w:eastAsia="Arial" w:cs="Arial"/>
    </w:rPr>
  </w:style>
  <w:style w:type="paragraph" w:customStyle="1" w:styleId="SectionBand">
    <w:name w:val="Section Band"/>
    <w:pPr>
      <w:widowControl/>
      <w:spacing w:before="140" w:after="120" w:line="259" w:lineRule="auto"/>
    </w:pPr>
    <w:rPr>
      <w:rFonts w:ascii="Arial" w:hAnsi="Arial"/>
      <w:b/>
      <w:color w:val="203864"/>
      <w:sz w:val="20"/>
      <w:rFonts w:ascii="Arial" w:hAnsi="Arial" w:eastAsia="Arial" w:cs="Arial"/>
    </w:rPr>
  </w:style>
  <w:style w:type="paragraph" w:customStyle="1" w:styleId="TableText">
    <w:name w:val="Table Text"/>
    <w:pPr>
      <w:widowControl/>
      <w:spacing w:before="0" w:after="60" w:line="259" w:lineRule="auto"/>
    </w:pPr>
    <w:rPr>
      <w:rFonts w:ascii="Arial" w:hAnsi="Arial"/>
      <w:b w:val="0"/>
      <w:color w:val="202B38"/>
      <w:sz w:val="19"/>
      <w:rFonts w:ascii="Arial" w:hAnsi="Arial" w:eastAsia="Arial" w:cs="Arial"/>
    </w:rPr>
  </w:style>
  <w:style w:type="paragraph" w:customStyle="1" w:styleId="Guidance">
    <w:name w:val="Guidance"/>
    <w:pPr>
      <w:keepLines/>
      <w:widowControl/>
      <w:spacing w:before="100" w:after="160" w:line="259" w:lineRule="auto"/>
    </w:pPr>
    <w:rPr>
      <w:rFonts w:ascii="Arial" w:hAnsi="Arial"/>
      <w:b w:val="0"/>
      <w:color w:val="202B38"/>
      <w:sz w:val="19"/>
      <w:rFonts w:ascii="Arial" w:hAnsi="Arial" w:eastAsia="Arial" w:cs="Arial"/>
    </w:rPr>
  </w:style>
  <w:style w:type="paragraph" w:customStyle="1" w:styleId="Submission">
    <w:name w:val="Submission"/>
    <w:pPr>
      <w:keepLines/>
      <w:widowControl/>
      <w:spacing w:before="100" w:after="160" w:line="259" w:lineRule="auto"/>
    </w:pPr>
    <w:rPr>
      <w:rFonts w:ascii="Arial" w:hAnsi="Arial"/>
      <w:b w:val="0"/>
      <w:color w:val="202B38"/>
      <w:sz w:val="20"/>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proff-amakobe.github.io/oer-books/Generative-AI/original/03-prompt-engineering.html" TargetMode="External"/><Relationship Id="rId12" Type="http://schemas.openxmlformats.org/officeDocument/2006/relationships/hyperlink" Target="https://www.oreilly.com/library/view/ai-engineering/9781098166298/" TargetMode="External"/><Relationship Id="rId13" Type="http://schemas.openxmlformats.org/officeDocument/2006/relationships/hyperlink" Target="https://github.com/chiphuyen/aie-book/blob/main/To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 Blackboard Module Guides</dc:title>
  <dc:subject>Graduate course | First Open Edition</dc:subject>
  <dc:creator>Moody Amakobe</dc:creator>
  <cp:keywords>Generative AI, Blackboard, weekly module guides</cp:keywords>
  <dc:description>generated by python-docx</dc:description>
  <cp:lastModifiedBy/>
  <cp:revision>1</cp:revision>
  <dcterms:created xsi:type="dcterms:W3CDTF">2013-12-23T23:15:00Z</dcterms:created>
  <dcterms:modified xsi:type="dcterms:W3CDTF">2013-12-23T23:15:00Z</dcterms:modified>
  <cp:category/>
</cp:coreProperties>
</file>