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rPr>
          <w:b w:val="0"/>
          <w:i w:val="0"/>
        </w:rPr>
        <w:t>GENERATIVE AI</w:t>
      </w:r>
    </w:p>
    <w:p>
      <w:pPr/>
      <w:r>
        <w:rPr>
          <w:b w:val="0"/>
          <w:i w:val="0"/>
        </w:rPr>
        <w:t>Graduate Course | First Open Edition</w:t>
      </w:r>
    </w:p>
    <w:p>
      <w:pPr>
        <w:pStyle w:val="Title"/>
      </w:pPr>
      <w:r>
        <w:rPr>
          <w:b w:val="0"/>
          <w:i w:val="0"/>
        </w:rPr>
        <w:t>Week 14 Module Guide</w:t>
      </w:r>
    </w:p>
    <w:p>
      <w:pPr>
        <w:pStyle w:val="Heading2"/>
      </w:pPr>
      <w:r>
        <w:rPr>
          <w:b w:val="0"/>
          <w:i w:val="0"/>
        </w:rPr>
        <w:t>Law, Policy, and Governance of AI</w:t>
      </w:r>
    </w:p>
    <w:p>
      <w:pPr/>
      <w:r>
        <w:rPr>
          <w:b/>
          <w:i w:val="0"/>
        </w:rPr>
        <w:t>Chapter:</w:t>
      </w:r>
      <w:r>
        <w:rPr>
          <w:b w:val="0"/>
          <w:i w:val="0"/>
        </w:rPr>
        <w:t xml:space="preserve"> Chapter 14: Law, Policy, and Governance of AI</w:t>
      </w:r>
    </w:p>
    <w:p>
      <w:pPr/>
      <w:r>
        <w:rPr>
          <w:b/>
          <w:i w:val="0"/>
        </w:rPr>
        <w:t>Project:</w:t>
      </w:r>
      <w:r>
        <w:rPr>
          <w:b w:val="0"/>
          <w:i w:val="0"/>
        </w:rPr>
        <w:t xml:space="preserve"> Compliance Checklist</w:t>
      </w:r>
    </w:p>
    <w:p>
      <w:pPr/>
      <w:r>
        <w:rPr>
          <w:b/>
          <w:i w:val="0"/>
        </w:rPr>
        <w:t>Est. Total Time:</w:t>
      </w:r>
      <w:r>
        <w:rPr>
          <w:b w:val="0"/>
          <w:i w:val="0"/>
        </w:rPr>
        <w:t xml:space="preserve"> Approx. 5–7 hours across the week</w:t>
      </w:r>
    </w:p>
    <w:p>
      <w:pPr>
        <w:pStyle w:val="SectionBand"/>
      </w:pPr>
      <w:r>
        <w:rPr>
          <w:b w:val="0"/>
          <w:i w:val="0"/>
        </w:rPr>
        <w:t>SECTION 1 — MODULE INTRODUCTION &amp; OBJECTIVES</w:t>
      </w:r>
    </w:p>
    <w:p>
      <w:pPr>
        <w:pStyle w:val="Heading3"/>
      </w:pPr>
      <w:r>
        <w:rPr>
          <w:b w:val="0"/>
          <w:i w:val="0"/>
        </w:rPr>
        <w:t>1. Week 14 Introduction &amp; Objectives</w:t>
      </w:r>
    </w:p>
    <w:p>
      <w:pPr>
        <w:pStyle w:val="Heading4"/>
      </w:pPr>
      <w:r>
        <w:rPr>
          <w:b w:val="0"/>
          <w:i w:val="0"/>
        </w:rPr>
        <w:t>Module Introduction</w:t>
      </w:r>
    </w:p>
    <w:p>
      <w:pPr/>
      <w:r>
        <w:rPr>
          <w:b w:val="0"/>
          <w:i w:val="0"/>
        </w:rPr>
        <w:t>Your assistant works well, tests cleanly, and passes its Chapter 13 ethics review. Is it legal to deploy? That's a genuinely different question, and one this book has deliberately saved for its own chapter rather than folding it into Chapter 13's ethics discussion, because "ethical" and "compliant" are related but not identical, a system can be one without being the other, and a practitioner needs to be able to reason about both.</w:t>
      </w:r>
    </w:p>
    <w:p>
      <w:pPr/>
      <w:r>
        <w:rPr>
          <w:b w:val="0"/>
          <w:i w:val="0"/>
        </w:rPr>
        <w:t>This chapter covers the legal and regulatory landscape a real AI deployment has to navigate: the emerging body of AI-specific regulation, the older bodies of law (copyright, liability) that AI has forced into new and unsettled territory, and the organizational governance structures that turn legal obligations into actual practice. None of this is settled law in the way, say, contract law is settled; you're studying a genuinely moving target, which is exactly why this chapter emphasizes the shape of the landscape and how to navigate it, rather than a fixed set of rules to memorize.</w:t>
      </w:r>
    </w:p>
    <w:p>
      <w:pPr>
        <w:pStyle w:val="Guidance"/>
        <w:ind w:left="144" w:right="144"/>
        <w:shd w:fill="FFF4CC"/>
      </w:pPr>
      <w:r>
        <w:rPr>
          <w:b w:val="0"/>
          <w:i w:val="0"/>
        </w:rPr>
        <w:t>Course Author Guidance Note: Keep the author’s narrative and the research-assistant project connection intact. Adapt examples used in discussion to the cohort, but retain the approved outcomes, milestone requirements, and assessment totals. The written Start Here item supplies Blackboard orientation.</w:t>
      </w:r>
    </w:p>
    <w:p>
      <w:r>
        <w:br w:type="page"/>
      </w:r>
    </w:p>
    <w:p>
      <w:pPr>
        <w:pStyle w:val="Heading3"/>
      </w:pPr>
      <w:r>
        <w:rPr>
          <w:b w:val="0"/>
          <w:i w:val="0"/>
        </w:rPr>
        <w:t>Weekly Objectives</w:t>
      </w:r>
    </w:p>
    <w:p>
      <w:pPr/>
      <w:r>
        <w:rPr>
          <w:b w:val="0"/>
          <w:i w:val="0"/>
        </w:rPr>
        <w:t>After completing this week, you will be able to demonstrate the following outcomes through the discussion, applied work, and portfolio evidence.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50"/>
        <w:gridCol w:w="1450"/>
        <w:gridCol w:w="5900"/>
        <w:gridCol w:w="2280"/>
      </w:tblGrid>
      <w:tr>
        <w:trPr>
          <w:cantSplit/>
          <w:tblHeader/>
        </w:trPr>
        <w:tc>
          <w:tcPr>
            <w:tcW w:type="dxa" w:w="450"/>
            <w:vAlign w:val="top"/>
            <w:shd w:fill="203864"/>
          </w:tcPr>
          <w:p>
            <w:pPr>
              <w:pStyle w:val="TableText"/>
            </w:pPr>
            <w:r>
              <w:rPr>
                <w:b/>
                <w:i w:val="0"/>
                <w:color w:val="FFFFFF"/>
              </w:rPr>
              <w:t>#</w:t>
            </w:r>
          </w:p>
        </w:tc>
        <w:tc>
          <w:tcPr>
            <w:tcW w:type="dxa" w:w="1450"/>
            <w:vAlign w:val="top"/>
            <w:shd w:fill="203864"/>
          </w:tcPr>
          <w:p>
            <w:pPr>
              <w:pStyle w:val="TableText"/>
            </w:pPr>
            <w:r>
              <w:rPr>
                <w:b/>
                <w:i w:val="0"/>
                <w:color w:val="FFFFFF"/>
              </w:rPr>
              <w:t>Bloom’s Level</w:t>
            </w:r>
          </w:p>
        </w:tc>
        <w:tc>
          <w:tcPr>
            <w:tcW w:type="dxa" w:w="5900"/>
            <w:vAlign w:val="top"/>
            <w:shd w:fill="203864"/>
          </w:tcPr>
          <w:p>
            <w:pPr>
              <w:pStyle w:val="TableText"/>
            </w:pPr>
            <w:r>
              <w:rPr>
                <w:b/>
                <w:i w:val="0"/>
                <w:color w:val="FFFFFF"/>
              </w:rPr>
              <w:t>Objective</w:t>
            </w:r>
          </w:p>
        </w:tc>
        <w:tc>
          <w:tcPr>
            <w:tcW w:type="dxa" w:w="2280"/>
            <w:vAlign w:val="top"/>
            <w:shd w:fill="203864"/>
          </w:tcPr>
          <w:p>
            <w:pPr>
              <w:pStyle w:val="TableText"/>
            </w:pPr>
            <w:r>
              <w:rPr>
                <w:b/>
                <w:i w:val="0"/>
                <w:color w:val="FFFFFF"/>
              </w:rPr>
              <w:t>Aligns to</w:t>
            </w:r>
          </w:p>
        </w:tc>
      </w:tr>
      <w:tr>
        <w:trPr>
          <w:cantSplit/>
        </w:trPr>
        <w:tc>
          <w:tcPr>
            <w:tcW w:type="dxa" w:w="450"/>
            <w:vAlign w:val="top"/>
            <w:shd w:fill="EAF2FA"/>
          </w:tcPr>
          <w:p>
            <w:pPr>
              <w:pStyle w:val="TableText"/>
            </w:pPr>
            <w:r>
              <w:rPr>
                <w:b w:val="0"/>
                <w:i w:val="0"/>
              </w:rPr>
              <w:t>1</w:t>
            </w:r>
          </w:p>
        </w:tc>
        <w:tc>
          <w:tcPr>
            <w:tcW w:type="dxa" w:w="1450"/>
            <w:vAlign w:val="top"/>
            <w:shd w:fill="EAF2FA"/>
          </w:tcPr>
          <w:p>
            <w:pPr>
              <w:pStyle w:val="TableText"/>
            </w:pPr>
            <w:r>
              <w:rPr>
                <w:b w:val="0"/>
                <w:i w:val="0"/>
              </w:rPr>
              <w:t>Analysis</w:t>
            </w:r>
          </w:p>
        </w:tc>
        <w:tc>
          <w:tcPr>
            <w:tcW w:type="dxa" w:w="5900"/>
            <w:vAlign w:val="top"/>
            <w:shd w:fill="EAF2FA"/>
          </w:tcPr>
          <w:p>
            <w:pPr>
              <w:pStyle w:val="TableText"/>
            </w:pPr>
            <w:r>
              <w:rPr>
                <w:b w:val="0"/>
                <w:i w:val="0"/>
              </w:rPr>
              <w:t>Analyze legal, ethical, and governance questions as related but distinct.</w:t>
            </w:r>
          </w:p>
        </w:tc>
        <w:tc>
          <w:tcPr>
            <w:tcW w:type="dxa" w:w="2280"/>
            <w:vAlign w:val="top"/>
            <w:shd w:fill="EAF2FA"/>
          </w:tcPr>
          <w:p>
            <w:pPr>
              <w:pStyle w:val="TableText"/>
            </w:pPr>
            <w:r>
              <w:rPr>
                <w:b w:val="0"/>
                <w:i w:val="0"/>
              </w:rPr>
              <w:t>CO 4 / PSLOs 5</w:t>
            </w:r>
          </w:p>
        </w:tc>
      </w:tr>
      <w:tr>
        <w:trPr>
          <w:cantSplit/>
        </w:trPr>
        <w:tc>
          <w:tcPr>
            <w:tcW w:type="dxa" w:w="450"/>
            <w:vAlign w:val="top"/>
            <w:shd w:fill="F5F8FB"/>
          </w:tcPr>
          <w:p>
            <w:pPr>
              <w:pStyle w:val="TableText"/>
            </w:pPr>
            <w:r>
              <w:rPr>
                <w:b w:val="0"/>
                <w:i w:val="0"/>
              </w:rPr>
              <w:t>2</w:t>
            </w:r>
          </w:p>
        </w:tc>
        <w:tc>
          <w:tcPr>
            <w:tcW w:type="dxa" w:w="1450"/>
            <w:vAlign w:val="top"/>
            <w:shd w:fill="F5F8FB"/>
          </w:tcPr>
          <w:p>
            <w:pPr>
              <w:pStyle w:val="TableText"/>
            </w:pPr>
            <w:r>
              <w:rPr>
                <w:b w:val="0"/>
                <w:i w:val="0"/>
              </w:rPr>
              <w:t>Evaluation</w:t>
            </w:r>
          </w:p>
        </w:tc>
        <w:tc>
          <w:tcPr>
            <w:tcW w:type="dxa" w:w="5900"/>
            <w:vAlign w:val="top"/>
            <w:shd w:fill="F5F8FB"/>
          </w:tcPr>
          <w:p>
            <w:pPr>
              <w:pStyle w:val="TableText"/>
            </w:pPr>
            <w:r>
              <w:rPr>
                <w:b w:val="0"/>
                <w:i w:val="0"/>
              </w:rPr>
              <w:t>Evaluate which regulatory frameworks plausibly apply to a defined deployment.</w:t>
            </w:r>
          </w:p>
        </w:tc>
        <w:tc>
          <w:tcPr>
            <w:tcW w:type="dxa" w:w="2280"/>
            <w:vAlign w:val="top"/>
            <w:shd w:fill="F5F8FB"/>
          </w:tcPr>
          <w:p>
            <w:pPr>
              <w:pStyle w:val="TableText"/>
            </w:pPr>
            <w:r>
              <w:rPr>
                <w:b w:val="0"/>
                <w:i w:val="0"/>
              </w:rPr>
              <w:t>CO 4 / PSLOs 5</w:t>
            </w:r>
          </w:p>
        </w:tc>
      </w:tr>
      <w:tr>
        <w:trPr>
          <w:cantSplit/>
        </w:trPr>
        <w:tc>
          <w:tcPr>
            <w:tcW w:type="dxa" w:w="450"/>
            <w:vAlign w:val="top"/>
            <w:shd w:fill="EAF2FA"/>
          </w:tcPr>
          <w:p>
            <w:pPr>
              <w:pStyle w:val="TableText"/>
            </w:pPr>
            <w:r>
              <w:rPr>
                <w:b w:val="0"/>
                <w:i w:val="0"/>
              </w:rPr>
              <w:t>3</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Critique official-source evidence and identify genuine regulatory uncertainty.</w:t>
            </w:r>
          </w:p>
        </w:tc>
        <w:tc>
          <w:tcPr>
            <w:tcW w:type="dxa" w:w="2280"/>
            <w:vAlign w:val="top"/>
            <w:shd w:fill="EAF2FA"/>
          </w:tcPr>
          <w:p>
            <w:pPr>
              <w:pStyle w:val="TableText"/>
            </w:pPr>
            <w:r>
              <w:rPr>
                <w:b w:val="0"/>
                <w:i w:val="0"/>
              </w:rPr>
              <w:t>CO 5 / PSLOs 1, 4, 6</w:t>
            </w:r>
          </w:p>
        </w:tc>
      </w:tr>
      <w:tr>
        <w:trPr>
          <w:cantSplit/>
        </w:trPr>
        <w:tc>
          <w:tcPr>
            <w:tcW w:type="dxa" w:w="450"/>
            <w:vAlign w:val="top"/>
            <w:shd w:fill="F5F8FB"/>
          </w:tcPr>
          <w:p>
            <w:pPr>
              <w:pStyle w:val="TableText"/>
            </w:pPr>
            <w:r>
              <w:rPr>
                <w:b w:val="0"/>
                <w:i w:val="0"/>
              </w:rPr>
              <w:t>4</w:t>
            </w:r>
          </w:p>
        </w:tc>
        <w:tc>
          <w:tcPr>
            <w:tcW w:type="dxa" w:w="1450"/>
            <w:vAlign w:val="top"/>
            <w:shd w:fill="F5F8FB"/>
          </w:tcPr>
          <w:p>
            <w:pPr>
              <w:pStyle w:val="TableText"/>
            </w:pPr>
            <w:r>
              <w:rPr>
                <w:b w:val="0"/>
                <w:i w:val="0"/>
              </w:rPr>
              <w:t>Creation</w:t>
            </w:r>
          </w:p>
        </w:tc>
        <w:tc>
          <w:tcPr>
            <w:tcW w:type="dxa" w:w="5900"/>
            <w:vAlign w:val="top"/>
            <w:shd w:fill="F5F8FB"/>
          </w:tcPr>
          <w:p>
            <w:pPr>
              <w:pStyle w:val="TableText"/>
            </w:pPr>
            <w:r>
              <w:rPr>
                <w:b w:val="0"/>
                <w:i w:val="0"/>
              </w:rPr>
              <w:t>Design a governance response connecting copyright, liability, and verification.</w:t>
            </w:r>
          </w:p>
        </w:tc>
        <w:tc>
          <w:tcPr>
            <w:tcW w:type="dxa" w:w="2280"/>
            <w:vAlign w:val="top"/>
            <w:shd w:fill="F5F8FB"/>
          </w:tcPr>
          <w:p>
            <w:pPr>
              <w:pStyle w:val="TableText"/>
            </w:pPr>
            <w:r>
              <w:rPr>
                <w:b w:val="0"/>
                <w:i w:val="0"/>
              </w:rPr>
              <w:t>CO 4 / PSLOs 5</w:t>
            </w:r>
          </w:p>
        </w:tc>
      </w:tr>
      <w:tr>
        <w:trPr>
          <w:cantSplit/>
        </w:trPr>
        <w:tc>
          <w:tcPr>
            <w:tcW w:type="dxa" w:w="450"/>
            <w:vAlign w:val="top"/>
            <w:shd w:fill="EAF2FA"/>
          </w:tcPr>
          <w:p>
            <w:pPr>
              <w:pStyle w:val="TableText"/>
            </w:pPr>
            <w:r>
              <w:rPr>
                <w:b w:val="0"/>
                <w:i w:val="0"/>
              </w:rPr>
              <w:t>5</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Justify a compliance checklist with explicit limits and review needs.</w:t>
            </w:r>
          </w:p>
        </w:tc>
        <w:tc>
          <w:tcPr>
            <w:tcW w:type="dxa" w:w="2280"/>
            <w:vAlign w:val="top"/>
            <w:shd w:fill="EAF2FA"/>
          </w:tcPr>
          <w:p>
            <w:pPr>
              <w:pStyle w:val="TableText"/>
            </w:pPr>
            <w:r>
              <w:rPr>
                <w:b w:val="0"/>
                <w:i w:val="0"/>
              </w:rPr>
              <w:t>CO 4 / PSLOs 5</w:t>
            </w:r>
          </w:p>
        </w:tc>
      </w:tr>
    </w:tbl>
    <w:p>
      <w:pPr>
        <w:pStyle w:val="Heading4"/>
      </w:pPr>
      <w:r>
        <w:rPr>
          <w:b w:val="0"/>
          <w:i w:val="0"/>
        </w:rPr>
        <w:t>Approved CO / PSLO Alignment</w:t>
      </w:r>
    </w:p>
    <w:p>
      <w:pPr/>
      <w:r>
        <w:rPr>
          <w:b w:val="0"/>
          <w:i w:val="0"/>
        </w:rPr>
        <w:t xml:space="preserve">This week emphasizes </w:t>
      </w:r>
      <w:r>
        <w:rPr>
          <w:b/>
          <w:i w:val="0"/>
        </w:rPr>
        <w:t>CO 4, CO 5 / PSLOs 1, 4, 5, 6</w:t>
      </w:r>
      <w:r>
        <w:rPr>
          <w:b w:val="0"/>
          <w:i w:val="0"/>
        </w:rPr>
        <w:t>. Each objective uses only the approved CO-to-PSLO mapping; a PSLO code indicates curricular alignment, not that this single week independently demonstrates the entire program outcome.</w:t>
      </w:r>
    </w:p>
    <w:p>
      <w:pPr/>
      <w:r>
        <w:rPr>
          <w:b/>
          <w:i w:val="0"/>
        </w:rPr>
        <w:t>CO 4:</w:t>
      </w:r>
      <w:r>
        <w:rPr>
          <w:b w:val="0"/>
          <w:i w:val="0"/>
        </w:rPr>
        <w:t xml:space="preserve"> Assess ethical, societal, legal, and security considerations associated with the development and deployment of generative artificial intelligence systems.</w:t>
      </w:r>
    </w:p>
    <w:p>
      <w:pPr/>
      <w:r>
        <w:rPr>
          <w:b/>
          <w:i w:val="0"/>
        </w:rPr>
        <w:t>CO 5:</w:t>
      </w:r>
      <w:r>
        <w:rPr>
          <w:b w:val="0"/>
          <w:i w:val="0"/>
        </w:rPr>
        <w:t xml:space="preserve"> Investigate and synthesize advanced methodologies, architectures, emerging technologies, and current research trends in Large Language Models and generative artificial intelligence.</w:t>
      </w:r>
    </w:p>
    <w:p>
      <w:pPr>
        <w:pStyle w:val="Guidance"/>
        <w:ind w:left="144" w:right="144"/>
        <w:shd w:fill="FFF4CC"/>
      </w:pPr>
      <w:r>
        <w:rPr>
          <w:b w:val="0"/>
          <w:i w:val="0"/>
        </w:rPr>
        <w:t>Assessment alignment: Judge the discussion for conceptual reasoning and evidence, the applied activity for analysis of a concrete case, and the milestone for a justified project decision. Preserve the approved CO wording. The course map contains the full approved PSLO statements.</w:t>
      </w:r>
    </w:p>
    <w:p>
      <w:r>
        <w:br w:type="page"/>
      </w:r>
    </w:p>
    <w:p>
      <w:pPr>
        <w:pStyle w:val="SectionBand"/>
      </w:pPr>
      <w:r>
        <w:rPr>
          <w:b w:val="0"/>
          <w:i w:val="0"/>
        </w:rPr>
        <w:t>SECTION 2 — WEEK PLAN</w:t>
      </w:r>
    </w:p>
    <w:p>
      <w:pPr>
        <w:pStyle w:val="Heading3"/>
      </w:pPr>
      <w:r>
        <w:rPr>
          <w:b w:val="0"/>
          <w:i w:val="0"/>
        </w:rPr>
        <w:t>2. Week 14 Plan</w:t>
      </w:r>
    </w:p>
    <w:p>
      <w:pPr>
        <w:pStyle w:val="Guidance"/>
        <w:ind w:left="144" w:right="144"/>
        <w:shd w:fill="FFF4CC"/>
      </w:pPr>
      <w:r>
        <w:rPr>
          <w:b w:val="0"/>
          <w:i w:val="0"/>
        </w:rPr>
        <w:t>Course Author Guidance — Suggested Schedule: These day groups are pacing suggestions, not four separate deadlines. Set actual due dates and the course time zone in Blackboard before release. Preserve the sequence and point totals; adjust pacing for the cohort without adding unrelated tasks.</w:t>
      </w:r>
    </w:p>
    <w:p>
      <w:pPr>
        <w:pStyle w:val="Heading4"/>
      </w:pPr>
      <w:r>
        <w:rPr>
          <w:b w:val="0"/>
          <w:i w:val="0"/>
        </w:rPr>
        <w:t>Start Here</w:t>
      </w:r>
    </w:p>
    <w:p>
      <w:pPr/>
      <w:r>
        <w:rPr>
          <w:b w:val="0"/>
          <w:i w:val="0"/>
        </w:rPr>
        <w:t xml:space="preserve">Begin with </w:t>
      </w:r>
      <w:r>
        <w:rPr>
          <w:b/>
          <w:i w:val="0"/>
        </w:rPr>
        <w:t>Week 14 Start Here: Module Overview</w:t>
      </w:r>
      <w:r>
        <w:rPr>
          <w:b w:val="0"/>
          <w:i w:val="0"/>
        </w:rPr>
        <w:t>, a written Blackboard content page. It identifies the reading order, the connection among assignments, and the portfolio artifact. Keep the primary textbook open while working; the companion selection supports the week’s decision rather than replacing the chapter.</w:t>
      </w:r>
    </w:p>
    <w:p>
      <w:pPr>
        <w:pStyle w:val="Heading4"/>
      </w:pPr>
      <w:r>
        <w:rPr>
          <w:b w:val="0"/>
          <w:i w:val="0"/>
        </w:rPr>
        <w:t>Suggested Weekly Schedule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1850"/>
        <w:gridCol w:w="6450"/>
        <w:gridCol w:w="1780"/>
      </w:tblGrid>
      <w:tr>
        <w:trPr>
          <w:cantSplit/>
          <w:tblHeader/>
        </w:trPr>
        <w:tc>
          <w:tcPr>
            <w:tcW w:type="dxa" w:w="1850"/>
            <w:vAlign w:val="top"/>
            <w:shd w:fill="203864"/>
          </w:tcPr>
          <w:p>
            <w:pPr>
              <w:pStyle w:val="TableText"/>
            </w:pPr>
            <w:r>
              <w:rPr>
                <w:b/>
                <w:i w:val="0"/>
                <w:color w:val="FFFFFF"/>
              </w:rPr>
              <w:t>Pacing group</w:t>
            </w:r>
          </w:p>
        </w:tc>
        <w:tc>
          <w:tcPr>
            <w:tcW w:type="dxa" w:w="6450"/>
            <w:vAlign w:val="top"/>
            <w:shd w:fill="203864"/>
          </w:tcPr>
          <w:p>
            <w:pPr>
              <w:pStyle w:val="TableText"/>
            </w:pPr>
            <w:r>
              <w:rPr>
                <w:b/>
                <w:i w:val="0"/>
                <w:color w:val="FFFFFF"/>
              </w:rPr>
              <w:t>Activities</w:t>
            </w:r>
          </w:p>
        </w:tc>
        <w:tc>
          <w:tcPr>
            <w:tcW w:type="dxa" w:w="1780"/>
            <w:vAlign w:val="top"/>
            <w:shd w:fill="203864"/>
          </w:tcPr>
          <w:p>
            <w:pPr>
              <w:pStyle w:val="TableText"/>
            </w:pPr>
            <w:r>
              <w:rPr>
                <w:b/>
                <w:i w:val="0"/>
                <w:color w:val="FFFFFF"/>
              </w:rPr>
              <w:t>Estimated time</w:t>
            </w:r>
          </w:p>
        </w:tc>
      </w:tr>
      <w:tr>
        <w:trPr>
          <w:cantSplit/>
        </w:trPr>
        <w:tc>
          <w:tcPr>
            <w:tcW w:type="dxa" w:w="1850"/>
            <w:vAlign w:val="top"/>
            <w:shd w:fill="EAF2FA"/>
          </w:tcPr>
          <w:p>
            <w:pPr>
              <w:pStyle w:val="TableText"/>
            </w:pPr>
            <w:r>
              <w:rPr>
                <w:b w:val="0"/>
                <w:i w:val="0"/>
              </w:rPr>
              <w:t>Monday–Tuesday</w:t>
            </w:r>
          </w:p>
        </w:tc>
        <w:tc>
          <w:tcPr>
            <w:tcW w:type="dxa" w:w="6450"/>
            <w:vAlign w:val="top"/>
            <w:shd w:fill="EAF2FA"/>
          </w:tcPr>
          <w:p>
            <w:pPr>
              <w:pStyle w:val="TableText"/>
            </w:pPr>
            <w:r>
              <w:rPr>
                <w:b w:val="0"/>
                <w:i w:val="0"/>
              </w:rPr>
              <w:t>Read Week 14 Start Here: Module Overview. Begin the primary chapter and focused companion selection. Annotate one decision that matters to your assistant.</w:t>
            </w:r>
          </w:p>
        </w:tc>
        <w:tc>
          <w:tcPr>
            <w:tcW w:type="dxa" w:w="1780"/>
            <w:vAlign w:val="top"/>
            <w:shd w:fill="EAF2FA"/>
          </w:tcPr>
          <w:p>
            <w:pPr>
              <w:pStyle w:val="TableText"/>
            </w:pPr>
            <w:r>
              <w:rPr>
                <w:b w:val="0"/>
                <w:i w:val="0"/>
              </w:rPr>
              <w:t>90–120 min</w:t>
            </w:r>
          </w:p>
        </w:tc>
      </w:tr>
      <w:tr>
        <w:trPr>
          <w:cantSplit/>
        </w:trPr>
        <w:tc>
          <w:tcPr>
            <w:tcW w:type="dxa" w:w="1850"/>
            <w:vAlign w:val="top"/>
            <w:shd w:fill="F5F8FB"/>
          </w:tcPr>
          <w:p>
            <w:pPr>
              <w:pStyle w:val="TableText"/>
            </w:pPr>
            <w:r>
              <w:rPr>
                <w:b w:val="0"/>
                <w:i w:val="0"/>
              </w:rPr>
              <w:t>Wednesday–Thursday</w:t>
            </w:r>
          </w:p>
        </w:tc>
        <w:tc>
          <w:tcPr>
            <w:tcW w:type="dxa" w:w="6450"/>
            <w:vAlign w:val="top"/>
            <w:shd w:fill="F5F8FB"/>
          </w:tcPr>
          <w:p>
            <w:pPr>
              <w:pStyle w:val="TableText"/>
            </w:pPr>
            <w:r>
              <w:rPr>
                <w:b w:val="0"/>
                <w:i w:val="0"/>
              </w:rPr>
              <w:t>Finish focused reading; work through the activity setup and draft the initial discussion post with chapter evidence.</w:t>
            </w:r>
          </w:p>
        </w:tc>
        <w:tc>
          <w:tcPr>
            <w:tcW w:type="dxa" w:w="1780"/>
            <w:vAlign w:val="top"/>
            <w:shd w:fill="F5F8FB"/>
          </w:tcPr>
          <w:p>
            <w:pPr>
              <w:pStyle w:val="TableText"/>
            </w:pPr>
            <w:r>
              <w:rPr>
                <w:b w:val="0"/>
                <w:i w:val="0"/>
              </w:rPr>
              <w:t>70–90 min</w:t>
            </w:r>
          </w:p>
        </w:tc>
      </w:tr>
      <w:tr>
        <w:trPr>
          <w:cantSplit/>
        </w:trPr>
        <w:tc>
          <w:tcPr>
            <w:tcW w:type="dxa" w:w="1850"/>
            <w:vAlign w:val="top"/>
            <w:shd w:fill="EAF2FA"/>
          </w:tcPr>
          <w:p>
            <w:pPr>
              <w:pStyle w:val="TableText"/>
            </w:pPr>
            <w:r>
              <w:rPr>
                <w:b w:val="0"/>
                <w:i w:val="0"/>
              </w:rPr>
              <w:t>Friday–Saturday</w:t>
            </w:r>
          </w:p>
        </w:tc>
        <w:tc>
          <w:tcPr>
            <w:tcW w:type="dxa" w:w="6450"/>
            <w:vAlign w:val="top"/>
            <w:shd w:fill="EAF2FA"/>
          </w:tcPr>
          <w:p>
            <w:pPr>
              <w:pStyle w:val="TableText"/>
            </w:pPr>
            <w:r>
              <w:rPr>
                <w:b w:val="0"/>
                <w:i w:val="0"/>
              </w:rPr>
              <w:t>Complete the case analysis, respond to two peers, and develop Compliance Checklist.</w:t>
            </w:r>
          </w:p>
        </w:tc>
        <w:tc>
          <w:tcPr>
            <w:tcW w:type="dxa" w:w="1780"/>
            <w:vAlign w:val="top"/>
            <w:shd w:fill="EAF2FA"/>
          </w:tcPr>
          <w:p>
            <w:pPr>
              <w:pStyle w:val="TableText"/>
            </w:pPr>
            <w:r>
              <w:rPr>
                <w:b w:val="0"/>
                <w:i w:val="0"/>
              </w:rPr>
              <w:t>100–140 min</w:t>
            </w:r>
          </w:p>
        </w:tc>
      </w:tr>
      <w:tr>
        <w:trPr>
          <w:cantSplit/>
        </w:trPr>
        <w:tc>
          <w:tcPr>
            <w:tcW w:type="dxa" w:w="1850"/>
            <w:vAlign w:val="top"/>
            <w:shd w:fill="F5F8FB"/>
          </w:tcPr>
          <w:p>
            <w:pPr>
              <w:pStyle w:val="TableText"/>
            </w:pPr>
            <w:r>
              <w:rPr>
                <w:b w:val="0"/>
                <w:i w:val="0"/>
              </w:rPr>
              <w:t>Sunday</w:t>
            </w:r>
          </w:p>
        </w:tc>
        <w:tc>
          <w:tcPr>
            <w:tcW w:type="dxa" w:w="6450"/>
            <w:vAlign w:val="top"/>
            <w:shd w:fill="F5F8FB"/>
          </w:tcPr>
          <w:p>
            <w:pPr>
              <w:pStyle w:val="TableText"/>
            </w:pPr>
            <w:r>
              <w:rPr>
                <w:b w:val="0"/>
                <w:i w:val="0"/>
              </w:rPr>
              <w:t>Check the rubric, reconcile the milestone with earlier decisions, and submit the major work through the relevant Blackboard items.</w:t>
            </w:r>
          </w:p>
        </w:tc>
        <w:tc>
          <w:tcPr>
            <w:tcW w:type="dxa" w:w="1780"/>
            <w:vAlign w:val="top"/>
            <w:shd w:fill="F5F8FB"/>
          </w:tcPr>
          <w:p>
            <w:pPr>
              <w:pStyle w:val="TableText"/>
            </w:pPr>
            <w:r>
              <w:rPr>
                <w:b w:val="0"/>
                <w:i w:val="0"/>
              </w:rPr>
              <w:t>40–70 min</w:t>
            </w:r>
          </w:p>
        </w:tc>
      </w:tr>
    </w:tbl>
    <w:p>
      <w:pPr/>
      <w:r>
        <w:rPr>
          <w:b w:val="0"/>
          <w:i w:val="0"/>
        </w:rPr>
        <w:t>The ranges total approximately 300–420 minutes (5–7 hours). Reading, discussion, applied work, and project writing are included. Use focused sections and reuse evidence across connected tasks rather than starting separate projects.</w:t>
      </w:r>
    </w:p>
    <w:p>
      <w:pPr>
        <w:pStyle w:val="Heading4"/>
      </w:pPr>
      <w:r>
        <w:rPr>
          <w:b w:val="0"/>
          <w:i w:val="0"/>
        </w:rPr>
        <w:t>Reminders</w:t>
      </w:r>
    </w:p>
    <w:p>
      <w:pPr>
        <w:pStyle w:val="ListBullet"/>
        <w:numPr>
          <w:ilvl w:val="0"/>
          <w:numId w:val="80"/>
        </w:numPr>
      </w:pPr>
      <w:r>
        <w:rPr>
          <w:b w:val="0"/>
          <w:i w:val="0"/>
        </w:rPr>
        <w:t>Consult the due dates shown in Blackboard; the schedule above is not a deadline policy.</w:t>
      </w:r>
    </w:p>
    <w:p>
      <w:pPr>
        <w:pStyle w:val="ListBullet"/>
        <w:numPr>
          <w:ilvl w:val="0"/>
          <w:numId w:val="80"/>
        </w:numPr>
      </w:pPr>
      <w:r>
        <w:rPr>
          <w:b w:val="0"/>
          <w:i w:val="0"/>
        </w:rPr>
        <w:t>Keep one research-assistant domain and maintain a revision history for the same portfolio.</w:t>
      </w:r>
    </w:p>
    <w:p>
      <w:pPr>
        <w:pStyle w:val="ListBullet"/>
        <w:numPr>
          <w:ilvl w:val="0"/>
          <w:numId w:val="80"/>
        </w:numPr>
      </w:pPr>
      <w:r>
        <w:rPr>
          <w:b w:val="0"/>
          <w:i w:val="0"/>
        </w:rPr>
        <w:t>Cite sources for claims. Label measured results, scenario assumptions, and projected behavior distinctly.</w:t>
      </w:r>
    </w:p>
    <w:p>
      <w:pPr>
        <w:pStyle w:val="ListBullet"/>
        <w:numPr>
          <w:ilvl w:val="0"/>
          <w:numId w:val="80"/>
        </w:numPr>
      </w:pPr>
      <w:r>
        <w:rPr>
          <w:b w:val="0"/>
          <w:i w:val="0"/>
        </w:rPr>
        <w:t>Use public, synthetic, or appropriately authorized data. Keep credentials and private personal information out of submitted examples.</w:t>
      </w:r>
    </w:p>
    <w:p>
      <w:pPr>
        <w:pStyle w:val="ListBullet"/>
        <w:numPr>
          <w:ilvl w:val="0"/>
          <w:numId w:val="80"/>
        </w:numPr>
      </w:pPr>
      <w:r>
        <w:rPr>
          <w:b w:val="0"/>
          <w:i w:val="0"/>
        </w:rPr>
        <w:t>Retain feedback and note one change to carry into the next milestone.</w:t>
      </w:r>
    </w:p>
    <w:p>
      <w:r>
        <w:br w:type="page"/>
      </w:r>
    </w:p>
    <w:p>
      <w:pPr>
        <w:pStyle w:val="SectionBand"/>
      </w:pPr>
      <w:r>
        <w:rPr>
          <w:b w:val="0"/>
          <w:i w:val="0"/>
        </w:rPr>
        <w:t>SECTION 3 — READINGS &amp; RESOURCES</w:t>
      </w:r>
    </w:p>
    <w:p>
      <w:pPr>
        <w:pStyle w:val="Heading3"/>
      </w:pPr>
      <w:r>
        <w:rPr>
          <w:b w:val="0"/>
          <w:i w:val="0"/>
        </w:rPr>
        <w:t>3. Readings and Resources</w:t>
      </w:r>
    </w:p>
    <w:p>
      <w:pPr>
        <w:pStyle w:val="Guidance"/>
        <w:ind w:left="144" w:right="144"/>
        <w:shd w:fill="FFF4CC"/>
      </w:pPr>
      <w:r>
        <w:rPr>
          <w:b w:val="0"/>
          <w:i w:val="0"/>
        </w:rPr>
        <w:t>Course Author Guidance — Readings: Assign the primary chapter first. Keep the companion selection focused on the named topics. Optional sources extend a question, not the mandatory workload. Retain the author’s case and milestone as the anchors for assessment.</w:t>
      </w:r>
    </w:p>
    <w:p>
      <w:pPr>
        <w:pStyle w:val="Heading4"/>
      </w:pPr>
      <w:r>
        <w:rPr>
          <w:b w:val="0"/>
          <w:i w:val="0"/>
        </w:rPr>
        <w:t>Required Reading 1 — Primary Textbook</w:t>
      </w:r>
    </w:p>
    <w:p>
      <w:pPr/>
      <w:r>
        <w:rPr>
          <w:b w:val="0"/>
          <w:i w:val="0"/>
        </w:rPr>
        <w:t xml:space="preserve">Moody Amakobe. </w:t>
      </w:r>
      <w:r>
        <w:rPr>
          <w:b w:val="0"/>
          <w:i/>
        </w:rPr>
        <w:t>Generative AI: Foundations, Systems, Evaluation, and Responsible Deployment</w:t>
      </w:r>
      <w:r>
        <w:rPr>
          <w:b w:val="0"/>
          <w:i w:val="0"/>
        </w:rPr>
        <w:t xml:space="preserve">. First Open Edition. Global Data Science Institute, 2026. </w:t>
      </w:r>
      <w:r>
        <w:rPr>
          <w:b/>
          <w:i w:val="0"/>
        </w:rPr>
        <w:t>Chapter 14: Law, Policy, and Governance of AI</w:t>
      </w:r>
      <w:r>
        <w:rPr>
          <w:b w:val="0"/>
          <w:i w:val="0"/>
        </w:rPr>
        <w:t>.</w:t>
      </w:r>
    </w:p>
    <w:p>
      <w:pPr/>
      <w:hyperlink r:id="rId11">
        <w:r>
          <w:rPr>
            <w:color w:val="2F65A0"/>
            <w:u w:val="single"/>
          </w:rPr>
          <w:t>Read the primary chapter online</w:t>
        </w:r>
      </w:hyperlink>
      <w:r>
        <w:rPr>
          <w:b w:val="0"/>
          <w:i w:val="0"/>
        </w:rPr>
        <w:t>.</w:t>
      </w:r>
    </w:p>
    <w:p>
      <w:pPr/>
      <w:r>
        <w:rPr>
          <w:b w:val="0"/>
          <w:i w:val="0"/>
        </w:rPr>
        <w:t xml:space="preserve">Read the introduction and learning goals, the technical discussion, </w:t>
      </w:r>
      <w:r>
        <w:rPr>
          <w:b/>
          <w:i w:val="0"/>
        </w:rPr>
        <w:t>A Legal Research Assistant at 50,000 Documents</w:t>
      </w:r>
      <w:r>
        <w:rPr>
          <w:b w:val="0"/>
          <w:i w:val="0"/>
        </w:rPr>
        <w:t xml:space="preserve">, the wrap-up, and </w:t>
      </w:r>
      <w:r>
        <w:rPr>
          <w:b/>
          <w:i w:val="0"/>
        </w:rPr>
        <w:t>Project Milestone: Compliance Checklist</w:t>
      </w:r>
      <w:r>
        <w:rPr>
          <w:b w:val="0"/>
          <w:i w:val="0"/>
        </w:rPr>
        <w:t>. Keep notes on the assumptions that make the chapter’s recommendation appropriate. The case is assigned as presented in the chapter; do not treat a reported result as a current independent benchmark.</w:t>
      </w:r>
    </w:p>
    <w:p>
      <w:pPr>
        <w:pStyle w:val="Heading4"/>
      </w:pPr>
      <w:r>
        <w:rPr>
          <w:b w:val="0"/>
          <w:i w:val="0"/>
        </w:rPr>
        <w:t>Optional Companion Reading</w:t>
      </w:r>
    </w:p>
    <w:p>
      <w:pPr/>
      <w:r>
        <w:rPr>
          <w:b w:val="0"/>
          <w:i w:val="0"/>
        </w:rPr>
        <w:t xml:space="preserve">Chip Huyen. </w:t>
      </w:r>
      <w:r>
        <w:rPr>
          <w:b w:val="0"/>
          <w:i/>
        </w:rPr>
        <w:t>AI Engineering: Building Applications with Foundation Models</w:t>
      </w:r>
      <w:r>
        <w:rPr>
          <w:b w:val="0"/>
          <w:i w:val="0"/>
        </w:rPr>
        <w:t>. O’Reilly Media, 2024. ISBN 9781098166298.</w:t>
      </w:r>
    </w:p>
    <w:p>
      <w:pPr/>
      <w:r>
        <w:rPr>
          <w:b/>
          <w:i w:val="0"/>
        </w:rPr>
        <w:t>Optional: Chapter 10 governance-related engineering context</w:t>
      </w:r>
    </w:p>
    <w:p>
      <w:pPr/>
      <w:r>
        <w:rPr>
          <w:b w:val="0"/>
          <w:i w:val="0"/>
        </w:rPr>
        <w:t>Focus: No required Huyen reading this week. The companion does not provide a full AI-law treatment; prioritize Chapter 14 and official sources.</w:t>
      </w:r>
    </w:p>
    <w:p>
      <w:pPr/>
      <w:r>
        <w:rPr>
          <w:b w:val="0"/>
          <w:i w:val="0"/>
        </w:rPr>
        <w:t xml:space="preserve">Read to compare how the two books frame the same engineering decision. Note one useful connection and one boundary of the companion’s coverage. No page numbers are prescribed. </w:t>
      </w:r>
      <w:hyperlink r:id="rId12">
        <w:r>
          <w:rPr>
            <w:color w:val="2F65A0"/>
            <w:u w:val="single"/>
          </w:rPr>
          <w:t>Publisher listing</w:t>
        </w:r>
      </w:hyperlink>
      <w:r>
        <w:rPr>
          <w:b w:val="0"/>
          <w:i w:val="0"/>
        </w:rPr>
        <w:t xml:space="preserve"> · </w:t>
      </w:r>
      <w:hyperlink r:id="rId13">
        <w:r>
          <w:rPr>
            <w:color w:val="2F65A0"/>
            <w:u w:val="single"/>
          </w:rPr>
          <w:t>Author’s contents</w:t>
        </w:r>
      </w:hyperlink>
      <w:r>
        <w:rPr>
          <w:b w:val="0"/>
          <w:i w:val="0"/>
        </w:rPr>
        <w:t>.</w:t>
      </w:r>
    </w:p>
    <w:p>
      <w:pPr>
        <w:pStyle w:val="Heading4"/>
      </w:pPr>
      <w:r>
        <w:rPr>
          <w:b w:val="0"/>
          <w:i w:val="0"/>
        </w:rPr>
        <w:t>Required Blackboard Item</w:t>
      </w:r>
    </w:p>
    <w:p>
      <w:pPr/>
      <w:r>
        <w:rPr>
          <w:b/>
          <w:i w:val="0"/>
        </w:rPr>
        <w:t>Week 14 Start Here: Module Overview</w:t>
      </w:r>
      <w:r>
        <w:rPr>
          <w:b w:val="0"/>
          <w:i w:val="0"/>
        </w:rPr>
        <w:t xml:space="preserve"> — a written content page in this week’s Blackboard module. Read it before beginning the assignments. It explains what to read first, how the tasks connect, what portfolio artifact you are producing, and what deserves special attention.</w:t>
      </w:r>
    </w:p>
    <w:p>
      <w:pPr>
        <w:pStyle w:val="Heading4"/>
      </w:pPr>
      <w:r>
        <w:rPr>
          <w:b w:val="0"/>
          <w:i w:val="0"/>
        </w:rPr>
        <w:t>Additional / Optional Readings</w:t>
      </w:r>
    </w:p>
    <w:p>
      <w:pPr/>
      <w:r>
        <w:rPr>
          <w:b w:val="0"/>
          <w:i w:val="0"/>
        </w:rPr>
        <w:t xml:space="preserve">Choose one item from the primary chapter’s </w:t>
      </w:r>
      <w:r>
        <w:rPr>
          <w:b/>
          <w:i w:val="0"/>
        </w:rPr>
        <w:t>Further Reading</w:t>
      </w:r>
      <w:r>
        <w:rPr>
          <w:b w:val="0"/>
          <w:i w:val="0"/>
        </w:rPr>
        <w:t xml:space="preserve"> that helps resolve a question in your project. Read for the claim, evidence, limitations, and relevance; no additional response is required.</w:t>
      </w:r>
    </w:p>
    <w:p>
      <w:pPr/>
      <w:r>
        <w:rPr>
          <w:b w:val="0"/>
          <w:i w:val="0"/>
        </w:rPr>
        <w:t>Author-listed starting point: The current text of the EU AI Act (search for the official European Commission source, this is exactly the kind of regulation worth reading directly rather than through a secondary summary, given how consequential its risk-tier definitions are).</w:t>
      </w:r>
    </w:p>
    <w:p>
      <w:pPr/>
      <w:r>
        <w:rPr>
          <w:b w:val="0"/>
          <w:i w:val="0"/>
        </w:rPr>
        <w:t xml:space="preserve">Official source named by the author: </w:t>
      </w:r>
      <w:hyperlink r:id="rId14">
        <w:r>
          <w:rPr>
            <w:color w:val="2F65A0"/>
            <w:u w:val="single"/>
          </w:rPr>
          <w:t>European Commission — AI Act</w:t>
        </w:r>
      </w:hyperlink>
      <w:r>
        <w:rPr>
          <w:b w:val="0"/>
          <w:i w:val="0"/>
        </w:rPr>
        <w:t>. Follow its official legal-text links and record the access date, jurisdiction, and applicability assumptions. Distinguish legal text from commentary; identify uncertainty rather than offering legal advice.</w:t>
      </w:r>
    </w:p>
    <w:p>
      <w:pPr>
        <w:pStyle w:val="Heading4"/>
      </w:pPr>
      <w:r>
        <w:rPr>
          <w:b w:val="0"/>
          <w:i w:val="0"/>
        </w:rPr>
        <w:t>Reading-to-Work Notes</w:t>
      </w:r>
    </w:p>
    <w:p>
      <w:pPr/>
      <w:r>
        <w:rPr>
          <w:b w:val="0"/>
          <w:i w:val="0"/>
        </w:rPr>
        <w:t>Keep brief notes under three headings: the claim or design principle; the evidence or example supporting it; and the consequence for your assistant. These notes support your submitted work and are not a fourth assignment.</w:t>
      </w:r>
    </w:p>
    <w:p>
      <w:r>
        <w:br w:type="page"/>
      </w:r>
    </w:p>
    <w:p>
      <w:pPr>
        <w:pStyle w:val="SectionBand"/>
      </w:pPr>
      <w:r>
        <w:rPr>
          <w:b w:val="0"/>
          <w:i w:val="0"/>
        </w:rPr>
        <w:t>SECTION 4 — ASSIGNMENTS</w:t>
      </w:r>
    </w:p>
    <w:p>
      <w:pPr>
        <w:pStyle w:val="Heading3"/>
      </w:pPr>
      <w:r>
        <w:rPr>
          <w:b w:val="0"/>
          <w:i w:val="0"/>
        </w:rPr>
        <w:t>4. Week 14 Assignments</w:t>
      </w:r>
    </w:p>
    <w:p>
      <w:pPr/>
      <w:r>
        <w:rPr>
          <w:b w:val="0"/>
          <w:i w:val="0"/>
        </w:rPr>
        <w:t xml:space="preserve">The discussion develops a judgment about </w:t>
      </w:r>
      <w:r>
        <w:rPr>
          <w:b/>
          <w:i w:val="0"/>
        </w:rPr>
        <w:t>Ethical Is Not the Same as Legal — Why Does That Matter</w:t>
      </w:r>
      <w:r>
        <w:rPr>
          <w:b w:val="0"/>
          <w:i w:val="0"/>
        </w:rPr>
        <w:t>. The applied work tests that judgment against A Legal Research Assistant at 50,000 Documents. The milestone carries the evidence into Compliance Checklist.</w:t>
      </w:r>
    </w:p>
    <w:p>
      <w:pPr>
        <w:pStyle w:val="Heading3"/>
      </w:pPr>
      <w:r>
        <w:rPr>
          <w:b w:val="0"/>
          <w:i w:val="0"/>
        </w:rPr>
        <w:t>Assignment 1 — Ethical Is Not the Same as Legal — Why Does That Matter?</w:t>
      </w:r>
    </w:p>
    <w:p>
      <w:pPr>
        <w:pStyle w:val="Submission"/>
        <w:ind w:left="144" w:right="144"/>
        <w:shd w:fill="EAF3E5"/>
      </w:pPr>
      <w:r>
        <w:rPr>
          <w:b w:val="0"/>
          <w:i w:val="0"/>
        </w:rPr>
        <w:t>Type: Discussion Board. Points: 10. Submit one initial post and two peer responses in the Week 14 Discussion item. Use Blackboard’s displayed due dates.</w:t>
      </w:r>
    </w:p>
    <w:p>
      <w:pPr/>
      <w:r>
        <w:rPr>
          <w:b w:val="0"/>
          <w:i w:val="0"/>
        </w:rPr>
        <w:t xml:space="preserve">Write an initial post of approximately </w:t>
      </w:r>
      <w:r>
        <w:rPr>
          <w:b/>
          <w:i w:val="0"/>
        </w:rPr>
        <w:t>350–500 words</w:t>
      </w:r>
      <w:r>
        <w:rPr>
          <w:b w:val="0"/>
          <w:i w:val="0"/>
        </w:rPr>
        <w:t>. Make a defensible claim, compare alternatives, and use evidence from the assigned material. Connect your judgment to your research-assistant design rather than summarizing the chapter.</w:t>
      </w:r>
    </w:p>
    <w:p>
      <w:pPr>
        <w:pStyle w:val="Heading4"/>
      </w:pPr>
      <w:r>
        <w:rPr>
          <w:b w:val="0"/>
          <w:i w:val="0"/>
        </w:rPr>
        <w:t>Discussion Prompt</w:t>
      </w:r>
    </w:p>
    <w:p>
      <w:pPr/>
      <w:r>
        <w:rPr>
          <w:b/>
          <w:i w:val="0"/>
        </w:rPr>
        <w:t>Part A — Position:</w:t>
      </w:r>
      <w:r>
        <w:rPr>
          <w:b w:val="0"/>
          <w:i w:val="0"/>
        </w:rPr>
        <w:t xml:space="preserve"> Describe a deployment context and jurisdiction in which ethical approval alone would not establish legal readiness.</w:t>
      </w:r>
    </w:p>
    <w:p>
      <w:pPr/>
      <w:r>
        <w:rPr>
          <w:b/>
          <w:i w:val="0"/>
        </w:rPr>
        <w:t>Part B — Comparison:</w:t>
      </w:r>
      <w:r>
        <w:rPr>
          <w:b w:val="0"/>
          <w:i w:val="0"/>
        </w:rPr>
        <w:t xml:space="preserve"> Distinguish an applicable obligation, a plausible but uncertain obligation, and a framework that does not apply; support the distinction with an official source.</w:t>
      </w:r>
    </w:p>
    <w:p>
      <w:pPr/>
      <w:r>
        <w:rPr>
          <w:b/>
          <w:i w:val="0"/>
        </w:rPr>
        <w:t>Part C — Judgment:</w:t>
      </w:r>
      <w:r>
        <w:rPr>
          <w:b w:val="0"/>
          <w:i w:val="0"/>
        </w:rPr>
        <w:t xml:space="preserve"> Recommend a governance action and identify a question requiring qualified review instead of asserting legal certainty.</w:t>
      </w:r>
    </w:p>
    <w:p>
      <w:pPr>
        <w:pStyle w:val="Heading4"/>
      </w:pPr>
      <w:r>
        <w:rPr>
          <w:b w:val="0"/>
          <w:i w:val="0"/>
        </w:rPr>
        <w:t>Peer Response Guidance</w:t>
      </w:r>
    </w:p>
    <w:p>
      <w:pPr/>
      <w:r>
        <w:rPr>
          <w:b w:val="0"/>
          <w:i w:val="0"/>
        </w:rPr>
        <w:t xml:space="preserve">Reply to </w:t>
      </w:r>
      <w:r>
        <w:rPr>
          <w:b/>
          <w:i w:val="0"/>
        </w:rPr>
        <w:t>two classmates, 150–200 words each</w:t>
      </w:r>
      <w:r>
        <w:rPr>
          <w:b w:val="0"/>
          <w:i w:val="0"/>
        </w:rPr>
        <w:t>. Challenge an assumption, introduce a counterexample, identify an overlooked trade-off, ask a substantive question, or connect the design to another course concept. Agreement, praise, or summary alone is insufficient. Explain why your contribution matters to the peer’s decision.</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Conceptual application</w:t>
            </w:r>
          </w:p>
        </w:tc>
        <w:tc>
          <w:tcPr>
            <w:tcW w:type="dxa" w:w="6530"/>
            <w:vAlign w:val="top"/>
            <w:shd w:fill="EAF2FA"/>
          </w:tcPr>
          <w:p>
            <w:pPr>
              <w:pStyle w:val="TableText"/>
            </w:pPr>
            <w:r>
              <w:rPr>
                <w:b w:val="0"/>
                <w:i w:val="0"/>
              </w:rPr>
              <w:t>Applies the week’s concepts accurately to the concrete problem and compares alternatives.</w:t>
            </w:r>
          </w:p>
        </w:tc>
        <w:tc>
          <w:tcPr>
            <w:tcW w:type="dxa" w:w="1000"/>
            <w:vAlign w:val="top"/>
            <w:shd w:fill="EAF2FA"/>
          </w:tcPr>
          <w:p>
            <w:pPr>
              <w:pStyle w:val="TableText"/>
            </w:pPr>
            <w:r>
              <w:rPr>
                <w:b w:val="0"/>
                <w:i w:val="0"/>
              </w:rPr>
              <w:t>3</w:t>
            </w:r>
          </w:p>
        </w:tc>
      </w:tr>
      <w:tr>
        <w:trPr>
          <w:cantSplit/>
        </w:trPr>
        <w:tc>
          <w:tcPr>
            <w:tcW w:type="dxa" w:w="2550"/>
            <w:vAlign w:val="top"/>
            <w:shd w:fill="F5F8FB"/>
          </w:tcPr>
          <w:p>
            <w:pPr>
              <w:pStyle w:val="TableText"/>
            </w:pPr>
            <w:r>
              <w:rPr>
                <w:b w:val="0"/>
                <w:i w:val="0"/>
              </w:rPr>
              <w:t>Evidence and judgment</w:t>
            </w:r>
          </w:p>
        </w:tc>
        <w:tc>
          <w:tcPr>
            <w:tcW w:type="dxa" w:w="6530"/>
            <w:vAlign w:val="top"/>
            <w:shd w:fill="F5F8FB"/>
          </w:tcPr>
          <w:p>
            <w:pPr>
              <w:pStyle w:val="TableText"/>
            </w:pPr>
            <w:r>
              <w:rPr>
                <w:b w:val="0"/>
                <w:i w:val="0"/>
              </w:rPr>
              <w:t>Uses chapter evidence to defend a position, identifies a limitation, and explains a trade-off.</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Project connection</w:t>
            </w:r>
          </w:p>
        </w:tc>
        <w:tc>
          <w:tcPr>
            <w:tcW w:type="dxa" w:w="6530"/>
            <w:vAlign w:val="top"/>
            <w:shd w:fill="EAF2FA"/>
          </w:tcPr>
          <w:p>
            <w:pPr>
              <w:pStyle w:val="TableText"/>
            </w:pPr>
            <w:r>
              <w:rPr>
                <w:b w:val="0"/>
                <w:i w:val="0"/>
              </w:rPr>
              <w:t>Connects the argument to the same research assistant and its users.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Peer engagement</w:t>
            </w:r>
          </w:p>
        </w:tc>
        <w:tc>
          <w:tcPr>
            <w:tcW w:type="dxa" w:w="6530"/>
            <w:vAlign w:val="top"/>
            <w:shd w:fill="F5F8FB"/>
          </w:tcPr>
          <w:p>
            <w:pPr>
              <w:pStyle w:val="TableText"/>
            </w:pPr>
            <w:r>
              <w:rPr>
                <w:b w:val="0"/>
                <w:i w:val="0"/>
              </w:rPr>
              <w:t>Two substantive replies meet the length guidance and advance the reasoning.</w:t>
            </w:r>
          </w:p>
        </w:tc>
        <w:tc>
          <w:tcPr>
            <w:tcW w:type="dxa" w:w="1000"/>
            <w:vAlign w:val="top"/>
            <w:shd w:fill="F5F8FB"/>
          </w:tcPr>
          <w:p>
            <w:pPr>
              <w:pStyle w:val="TableText"/>
            </w:pPr>
            <w:r>
              <w:rPr>
                <w:b w:val="0"/>
                <w:i w:val="0"/>
              </w:rPr>
              <w:t>2</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10</w:t>
            </w:r>
          </w:p>
        </w:tc>
      </w:tr>
    </w:tbl>
    <w:p>
      <w:pPr/>
      <w:r>
        <w:rPr>
          <w:b w:val="0"/>
          <w:i w:val="0"/>
        </w:rPr>
        <w:t>Cite the chapter or companion selection when it supports your reasoning. Cite outside claims to identifiable sources; an unsupported assertion does not become evidence because a model generated it.</w:t>
      </w:r>
    </w:p>
    <w:p>
      <w:r>
        <w:br w:type="page"/>
      </w:r>
    </w:p>
    <w:p>
      <w:pPr>
        <w:pStyle w:val="Heading3"/>
      </w:pPr>
      <w:r>
        <w:rPr>
          <w:b w:val="0"/>
          <w:i w:val="0"/>
        </w:rPr>
        <w:t>Assignment 2 — Legal Research Assistant + Compliance/Governance Analysis</w:t>
      </w:r>
    </w:p>
    <w:p>
      <w:pPr>
        <w:pStyle w:val="Submission"/>
        <w:ind w:left="144" w:right="144"/>
        <w:shd w:fill="EAF3E5"/>
      </w:pPr>
      <w:r>
        <w:rPr>
          <w:b w:val="0"/>
          <w:i w:val="0"/>
        </w:rPr>
        <w:t>Type: Applied analysis. Points: 25. Submit one PDF or DOCX to Week 14 Assignment 2. Aim for 600–800 words of analysis plus the requested matrix, diagram, prompts, or evidence appendix; these artifacts are not included in the word guide.</w:t>
      </w:r>
    </w:p>
    <w:p>
      <w:pPr/>
      <w:r>
        <w:rPr>
          <w:b w:val="0"/>
          <w:i w:val="0"/>
        </w:rPr>
        <w:t xml:space="preserve">Use </w:t>
      </w:r>
      <w:r>
        <w:rPr>
          <w:b/>
          <w:i w:val="0"/>
        </w:rPr>
        <w:t>A Legal Research Assistant at 50,000 Documents</w:t>
      </w:r>
      <w:r>
        <w:rPr>
          <w:b w:val="0"/>
          <w:i w:val="0"/>
        </w:rPr>
        <w:t xml:space="preserve"> as the anchor. Your task is to explain and test the design reasoning, not retell the case. Work through the following connected steps with informative headings.</w:t>
      </w:r>
    </w:p>
    <w:p>
      <w:pPr>
        <w:pStyle w:val="Heading4"/>
      </w:pPr>
      <w:r>
        <w:rPr>
          <w:b w:val="0"/>
          <w:i w:val="0"/>
        </w:rPr>
        <w:t>Detailed Response Prompt</w:t>
      </w:r>
    </w:p>
    <w:p>
      <w:pPr>
        <w:pStyle w:val="ListNumber"/>
        <w:numPr>
          <w:ilvl w:val="0"/>
          <w:numId w:val="81"/>
        </w:numPr>
      </w:pPr>
      <w:r>
        <w:rPr>
          <w:b w:val="0"/>
          <w:i w:val="0"/>
        </w:rPr>
        <w:t>Use A Legal Research Assistant at 50,000 Documents. Define the firm, intended users, document types, jurisdiction, and permitted use; label additional assumptions.</w:t>
      </w:r>
    </w:p>
    <w:p>
      <w:pPr>
        <w:pStyle w:val="ListNumber"/>
        <w:numPr>
          <w:ilvl w:val="0"/>
          <w:numId w:val="82"/>
        </w:numPr>
      </w:pPr>
      <w:r>
        <w:rPr>
          <w:b w:val="0"/>
          <w:i w:val="0"/>
        </w:rPr>
        <w:t>Build an issue matrix for regulation, copyright, liability, and governance. Separate primary legal text from commentary and record the access date.</w:t>
      </w:r>
    </w:p>
    <w:p>
      <w:pPr>
        <w:pStyle w:val="ListNumber"/>
        <w:numPr>
          <w:ilvl w:val="0"/>
          <w:numId w:val="83"/>
        </w:numPr>
      </w:pPr>
      <w:r>
        <w:rPr>
          <w:b w:val="0"/>
          <w:i w:val="0"/>
        </w:rPr>
        <w:t>Trace a hallucinated citation through the proposed workflow. Identify independent verification, responsibility, documentation, and escalation points.</w:t>
      </w:r>
    </w:p>
    <w:p>
      <w:pPr>
        <w:pStyle w:val="ListNumber"/>
        <w:numPr>
          <w:ilvl w:val="0"/>
          <w:numId w:val="84"/>
        </w:numPr>
      </w:pPr>
      <w:r>
        <w:rPr>
          <w:b w:val="0"/>
          <w:i w:val="0"/>
        </w:rPr>
        <w:t>Recommend conditional deployment, redesign, or deferral. Explain how a copyright or access restriction interacts with retrieval and how unresolved legal questions reach an accountable reviewer.</w:t>
      </w:r>
    </w:p>
    <w:p>
      <w:pPr>
        <w:pStyle w:val="Heading4"/>
      </w:pPr>
      <w:r>
        <w:rPr>
          <w:b w:val="0"/>
          <w:i w:val="0"/>
        </w:rPr>
        <w:t>Evidence and Submission Guidance</w:t>
      </w:r>
    </w:p>
    <w:p>
      <w:pPr/>
      <w:r>
        <w:rPr>
          <w:b w:val="0"/>
          <w:i w:val="0"/>
        </w:rPr>
        <w:t>Use the same assumptions consistently across the response. A design exercise can be completed as a documented walkthrough; do not disguise a projected outcome as an experiment. Where a task asks for live observations, use accessible tools and retain the relevant outputs. If access prevents the required comparison, request an instructor-provided output set rather than inventing results. Explain what your evidence cannot establish.</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Case and problem framing</w:t>
            </w:r>
          </w:p>
        </w:tc>
        <w:tc>
          <w:tcPr>
            <w:tcW w:type="dxa" w:w="6530"/>
            <w:vAlign w:val="top"/>
            <w:shd w:fill="EAF2FA"/>
          </w:tcPr>
          <w:p>
            <w:pPr>
              <w:pStyle w:val="TableText"/>
            </w:pPr>
            <w:r>
              <w:rPr>
                <w:b w:val="0"/>
                <w:i w:val="0"/>
              </w:rPr>
              <w:t>Accurately identifies the case’s design tension and separates given facts from assumptions.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Analysis and comparison</w:t>
            </w:r>
          </w:p>
        </w:tc>
        <w:tc>
          <w:tcPr>
            <w:tcW w:type="dxa" w:w="6530"/>
            <w:vAlign w:val="top"/>
            <w:shd w:fill="F5F8FB"/>
          </w:tcPr>
          <w:p>
            <w:pPr>
              <w:pStyle w:val="TableText"/>
            </w:pPr>
            <w:r>
              <w:rPr>
                <w:b w:val="0"/>
                <w:i w:val="0"/>
              </w:rPr>
              <w:t>Completes the requested comparison or experiment with a defensible method and evidence.</w:t>
            </w:r>
          </w:p>
        </w:tc>
        <w:tc>
          <w:tcPr>
            <w:tcW w:type="dxa" w:w="1000"/>
            <w:vAlign w:val="top"/>
            <w:shd w:fill="F5F8FB"/>
          </w:tcPr>
          <w:p>
            <w:pPr>
              <w:pStyle w:val="TableText"/>
            </w:pPr>
            <w:r>
              <w:rPr>
                <w:b w:val="0"/>
                <w:i w:val="0"/>
              </w:rPr>
              <w:t>8</w:t>
            </w:r>
          </w:p>
        </w:tc>
      </w:tr>
      <w:tr>
        <w:trPr>
          <w:cantSplit/>
        </w:trPr>
        <w:tc>
          <w:tcPr>
            <w:tcW w:type="dxa" w:w="2550"/>
            <w:vAlign w:val="top"/>
            <w:shd w:fill="EAF2FA"/>
          </w:tcPr>
          <w:p>
            <w:pPr>
              <w:pStyle w:val="TableText"/>
            </w:pPr>
            <w:r>
              <w:rPr>
                <w:b w:val="0"/>
                <w:i w:val="0"/>
              </w:rPr>
              <w:t>Limits and trade-offs</w:t>
            </w:r>
          </w:p>
        </w:tc>
        <w:tc>
          <w:tcPr>
            <w:tcW w:type="dxa" w:w="6530"/>
            <w:vAlign w:val="top"/>
            <w:shd w:fill="EAF2FA"/>
          </w:tcPr>
          <w:p>
            <w:pPr>
              <w:pStyle w:val="TableText"/>
            </w:pPr>
            <w:r>
              <w:rPr>
                <w:b w:val="0"/>
                <w:i w:val="0"/>
              </w:rPr>
              <w:t>Evaluates failure modes, alternative explanations, and relevant constraints.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Recommendation and transfer</w:t>
            </w:r>
          </w:p>
        </w:tc>
        <w:tc>
          <w:tcPr>
            <w:tcW w:type="dxa" w:w="6530"/>
            <w:vAlign w:val="top"/>
            <w:shd w:fill="F5F8FB"/>
          </w:tcPr>
          <w:p>
            <w:pPr>
              <w:pStyle w:val="TableText"/>
            </w:pPr>
            <w:r>
              <w:rPr>
                <w:b w:val="0"/>
                <w:i w:val="0"/>
              </w:rPr>
              <w:t>Connects a justified recommendation to the research-assistant design.</w:t>
            </w:r>
          </w:p>
        </w:tc>
        <w:tc>
          <w:tcPr>
            <w:tcW w:type="dxa" w:w="1000"/>
            <w:vAlign w:val="top"/>
            <w:shd w:fill="F5F8FB"/>
          </w:tcPr>
          <w:p>
            <w:pPr>
              <w:pStyle w:val="TableText"/>
            </w:pPr>
            <w:r>
              <w:rPr>
                <w:b w:val="0"/>
                <w:i w:val="0"/>
              </w:rPr>
              <w:t>5</w:t>
            </w:r>
          </w:p>
        </w:tc>
      </w:tr>
      <w:tr>
        <w:trPr>
          <w:cantSplit/>
        </w:trPr>
        <w:tc>
          <w:tcPr>
            <w:tcW w:type="dxa" w:w="2550"/>
            <w:vAlign w:val="top"/>
            <w:shd w:fill="EAF2FA"/>
          </w:tcPr>
          <w:p>
            <w:pPr>
              <w:pStyle w:val="TableText"/>
            </w:pPr>
            <w:r>
              <w:rPr>
                <w:b w:val="0"/>
                <w:i w:val="0"/>
              </w:rPr>
              <w:t>Traceability and clarity</w:t>
            </w:r>
          </w:p>
        </w:tc>
        <w:tc>
          <w:tcPr>
            <w:tcW w:type="dxa" w:w="6530"/>
            <w:vAlign w:val="top"/>
            <w:shd w:fill="EAF2FA"/>
          </w:tcPr>
          <w:p>
            <w:pPr>
              <w:pStyle w:val="TableText"/>
            </w:pPr>
            <w:r>
              <w:rPr>
                <w:b w:val="0"/>
                <w:i w:val="0"/>
              </w:rPr>
              <w:t>Includes requested artifacts, source references, and clear labels for measured/projected results.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Total</w:t>
            </w:r>
          </w:p>
        </w:tc>
        <w:tc>
          <w:tcPr>
            <w:tcW w:type="dxa" w:w="6530"/>
            <w:vAlign w:val="top"/>
            <w:shd w:fill="F5F8FB"/>
          </w:tcPr>
          <w:p>
            <w:pPr>
              <w:pStyle w:val="TableText"/>
            </w:pPr>
          </w:p>
        </w:tc>
        <w:tc>
          <w:tcPr>
            <w:tcW w:type="dxa" w:w="1000"/>
            <w:vAlign w:val="top"/>
            <w:shd w:fill="F5F8FB"/>
          </w:tcPr>
          <w:p>
            <w:pPr>
              <w:pStyle w:val="TableText"/>
            </w:pPr>
            <w:r>
              <w:rPr>
                <w:b w:val="0"/>
                <w:i w:val="0"/>
              </w:rPr>
              <w:t>25</w:t>
            </w:r>
          </w:p>
        </w:tc>
      </w:tr>
    </w:tbl>
    <w:p>
      <w:r>
        <w:br w:type="page"/>
      </w:r>
    </w:p>
    <w:p>
      <w:pPr>
        <w:pStyle w:val="Heading3"/>
      </w:pPr>
      <w:r>
        <w:rPr>
          <w:b w:val="0"/>
          <w:i w:val="0"/>
        </w:rPr>
        <w:t>Assignment 3 — Research Assistant Milestone 14: Compliance Checklist</w:t>
      </w:r>
    </w:p>
    <w:p>
      <w:pPr>
        <w:pStyle w:val="Submission"/>
        <w:ind w:left="144" w:right="144"/>
        <w:shd w:fill="EAF3E5"/>
      </w:pPr>
      <w:r>
        <w:rPr>
          <w:b w:val="0"/>
          <w:i w:val="0"/>
        </w:rPr>
        <w:t>Type: Project portfolio milestone. Points: 15. Submit a PDF or DOCX to Week 14 Project Milestone. Preserve the author’s required elements below and retain an editable copy for Week 16.</w:t>
      </w:r>
    </w:p>
    <w:p>
      <w:pPr>
        <w:pStyle w:val="Heading4"/>
      </w:pPr>
      <w:r>
        <w:rPr>
          <w:b w:val="0"/>
          <w:i w:val="0"/>
        </w:rPr>
        <w:t>Detailed Milestone Instructions — Author’s Requirements</w:t>
      </w:r>
    </w:p>
    <w:p>
      <w:pPr/>
      <w:r>
        <w:rPr>
          <w:b w:val="0"/>
          <w:i w:val="0"/>
        </w:rPr>
        <w:t xml:space="preserve">This week, add a </w:t>
      </w:r>
      <w:r>
        <w:rPr>
          <w:b/>
          <w:i w:val="0"/>
        </w:rPr>
        <w:t>Compliance Checklist</w:t>
      </w:r>
      <w:r>
        <w:rPr>
          <w:b w:val="0"/>
          <w:i w:val="0"/>
        </w:rPr>
        <w:t xml:space="preserve"> to your project portfolio:</w:t>
      </w:r>
    </w:p>
    <w:p>
      <w:pPr>
        <w:pStyle w:val="ListNumber"/>
        <w:numPr>
          <w:ilvl w:val="0"/>
          <w:numId w:val="85"/>
        </w:numPr>
      </w:pPr>
      <w:r>
        <w:rPr>
          <w:b/>
          <w:i w:val="0"/>
        </w:rPr>
        <w:t>Applicable regulations</w:t>
      </w:r>
      <w:r>
        <w:rPr>
          <w:b w:val="0"/>
          <w:i w:val="0"/>
        </w:rPr>
        <w:t>: Which frameworks from section 14.1 plausibly apply to your project, and which clearly don't, with reasoning for both.</w:t>
      </w:r>
    </w:p>
    <w:p>
      <w:pPr>
        <w:pStyle w:val="ListNumber"/>
        <w:numPr>
          <w:ilvl w:val="0"/>
          <w:numId w:val="85"/>
        </w:numPr>
      </w:pPr>
      <w:r>
        <w:rPr>
          <w:b/>
          <w:i w:val="0"/>
        </w:rPr>
        <w:t>Risk tier</w:t>
      </w:r>
      <w:r>
        <w:rPr>
          <w:b w:val="0"/>
          <w:i w:val="0"/>
        </w:rPr>
        <w:t>: If relevant, your assistant's likely EU AI Act risk classification.</w:t>
      </w:r>
    </w:p>
    <w:p>
      <w:pPr>
        <w:pStyle w:val="ListNumber"/>
        <w:numPr>
          <w:ilvl w:val="0"/>
          <w:numId w:val="85"/>
        </w:numPr>
      </w:pPr>
      <w:r>
        <w:rPr>
          <w:b/>
          <w:i w:val="0"/>
        </w:rPr>
        <w:t>Copyright consideration</w:t>
      </w:r>
      <w:r>
        <w:rPr>
          <w:b w:val="0"/>
          <w:i w:val="0"/>
        </w:rPr>
        <w:t>: Addressed explicitly, even if the honest answer is "needs review beyond this course."</w:t>
      </w:r>
    </w:p>
    <w:p>
      <w:pPr>
        <w:pStyle w:val="ListNumber"/>
        <w:numPr>
          <w:ilvl w:val="0"/>
          <w:numId w:val="85"/>
        </w:numPr>
      </w:pPr>
      <w:r>
        <w:rPr>
          <w:b/>
          <w:i w:val="0"/>
        </w:rPr>
        <w:t>Liability allocation</w:t>
      </w:r>
      <w:r>
        <w:rPr>
          <w:b w:val="0"/>
          <w:i w:val="0"/>
        </w:rPr>
        <w:t>: Where responsibility sits given your Chapter 5 design, stated explicitly rather than left implicit.</w:t>
      </w:r>
    </w:p>
    <w:p>
      <w:pPr>
        <w:pStyle w:val="Heading4"/>
      </w:pPr>
      <w:r>
        <w:rPr>
          <w:b w:val="0"/>
          <w:i w:val="0"/>
        </w:rPr>
        <w:t>What Makes a Strong Milestone</w:t>
      </w:r>
    </w:p>
    <w:p>
      <w:pPr/>
      <w:r>
        <w:rPr>
          <w:b w:val="0"/>
          <w:i w:val="0"/>
        </w:rPr>
        <w:t xml:space="preserve">A strong </w:t>
      </w:r>
      <w:r>
        <w:rPr>
          <w:b/>
          <w:i w:val="0"/>
        </w:rPr>
        <w:t>Compliance Checklist</w:t>
      </w:r>
      <w:r>
        <w:rPr>
          <w:b w:val="0"/>
          <w:i w:val="0"/>
        </w:rPr>
        <w:t xml:space="preserve"> addresses the actual users and constraints from your charter. Make the decision explicit, explain the rejected alternative, and connect claims to evidence from the week’s reading or applied work. The required elements above control the submission; additional pages or a working implementation do not substitute for missing reasoning.</w:t>
      </w:r>
    </w:p>
    <w:p>
      <w:pPr/>
      <w:r>
        <w:rPr>
          <w:b w:val="0"/>
          <w:i w:val="0"/>
        </w:rPr>
        <w:t>Use the scope and length stated by the author. Where no length is specified, a focused 1–3 pages plus necessary diagrams or evidence is normally sufficient; the literature review may need more space for its 5–8 sources. Identify one uncertainty or decision to revisit. Label any change to a prior milestone so your portfolio remains coherent.</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Applicable regulations</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4</w:t>
            </w:r>
          </w:p>
        </w:tc>
      </w:tr>
      <w:tr>
        <w:trPr>
          <w:cantSplit/>
        </w:trPr>
        <w:tc>
          <w:tcPr>
            <w:tcW w:type="dxa" w:w="2550"/>
            <w:vAlign w:val="top"/>
            <w:shd w:fill="F5F8FB"/>
          </w:tcPr>
          <w:p>
            <w:pPr>
              <w:pStyle w:val="TableText"/>
            </w:pPr>
            <w:r>
              <w:rPr>
                <w:b w:val="0"/>
                <w:i w:val="0"/>
              </w:rPr>
              <w:t>Risk tier</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Copyright consideration</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Liability allocation</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15</w:t>
            </w:r>
          </w:p>
        </w:tc>
      </w:tr>
    </w:tbl>
    <w:p>
      <w:r>
        <w:br w:type="page"/>
      </w:r>
    </w:p>
    <w:p>
      <w:pPr>
        <w:pStyle w:val="Heading3"/>
      </w:pPr>
      <w:r>
        <w:rPr>
          <w:b w:val="0"/>
          <w:i w:val="0"/>
        </w:rPr>
        <w:t>Week 14 Assignment Summary</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450"/>
        <w:gridCol w:w="2900"/>
        <w:gridCol w:w="1730"/>
        <w:gridCol w:w="1000"/>
      </w:tblGrid>
      <w:tr>
        <w:trPr>
          <w:cantSplit/>
          <w:tblHeader/>
        </w:trPr>
        <w:tc>
          <w:tcPr>
            <w:tcW w:type="dxa" w:w="4450"/>
            <w:vAlign w:val="top"/>
            <w:shd w:fill="203864"/>
          </w:tcPr>
          <w:p>
            <w:pPr>
              <w:pStyle w:val="TableText"/>
            </w:pPr>
            <w:r>
              <w:rPr>
                <w:b/>
                <w:i w:val="0"/>
                <w:color w:val="FFFFFF"/>
              </w:rPr>
              <w:t>Assignment</w:t>
            </w:r>
          </w:p>
        </w:tc>
        <w:tc>
          <w:tcPr>
            <w:tcW w:type="dxa" w:w="2900"/>
            <w:vAlign w:val="top"/>
            <w:shd w:fill="203864"/>
          </w:tcPr>
          <w:p>
            <w:pPr>
              <w:pStyle w:val="TableText"/>
            </w:pPr>
            <w:r>
              <w:rPr>
                <w:b/>
                <w:i w:val="0"/>
                <w:color w:val="FFFFFF"/>
              </w:rPr>
              <w:t>Submission</w:t>
            </w:r>
          </w:p>
        </w:tc>
        <w:tc>
          <w:tcPr>
            <w:tcW w:type="dxa" w:w="1730"/>
            <w:vAlign w:val="top"/>
            <w:shd w:fill="203864"/>
          </w:tcPr>
          <w:p>
            <w:pPr>
              <w:pStyle w:val="TableText"/>
            </w:pPr>
            <w:r>
              <w:rPr>
                <w:b/>
                <w:i w:val="0"/>
                <w:color w:val="FFFFFF"/>
              </w:rPr>
              <w:t>Due</w:t>
            </w:r>
          </w:p>
        </w:tc>
        <w:tc>
          <w:tcPr>
            <w:tcW w:type="dxa" w:w="1000"/>
            <w:vAlign w:val="top"/>
            <w:shd w:fill="203864"/>
          </w:tcPr>
          <w:p>
            <w:pPr>
              <w:pStyle w:val="TableText"/>
            </w:pPr>
            <w:r>
              <w:rPr>
                <w:b/>
                <w:i w:val="0"/>
                <w:color w:val="FFFFFF"/>
              </w:rPr>
              <w:t>Points</w:t>
            </w:r>
          </w:p>
        </w:tc>
      </w:tr>
      <w:tr>
        <w:trPr>
          <w:cantSplit/>
        </w:trPr>
        <w:tc>
          <w:tcPr>
            <w:tcW w:type="dxa" w:w="4450"/>
            <w:vAlign w:val="top"/>
            <w:shd w:fill="EAF2FA"/>
          </w:tcPr>
          <w:p>
            <w:pPr>
              <w:pStyle w:val="TableText"/>
            </w:pPr>
            <w:r>
              <w:rPr>
                <w:b w:val="0"/>
                <w:i w:val="0"/>
              </w:rPr>
              <w:t>Ethical Is Not the Same as Legal — Why Does That Matter?</w:t>
            </w:r>
          </w:p>
        </w:tc>
        <w:tc>
          <w:tcPr>
            <w:tcW w:type="dxa" w:w="2900"/>
            <w:vAlign w:val="top"/>
            <w:shd w:fill="EAF2FA"/>
          </w:tcPr>
          <w:p>
            <w:pPr>
              <w:pStyle w:val="TableText"/>
            </w:pPr>
            <w:r>
              <w:rPr>
                <w:b w:val="0"/>
                <w:i w:val="0"/>
              </w:rPr>
              <w:t>Initial post + two replies</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10</w:t>
            </w:r>
          </w:p>
        </w:tc>
      </w:tr>
      <w:tr>
        <w:trPr>
          <w:cantSplit/>
        </w:trPr>
        <w:tc>
          <w:tcPr>
            <w:tcW w:type="dxa" w:w="4450"/>
            <w:vAlign w:val="top"/>
            <w:shd w:fill="F5F8FB"/>
          </w:tcPr>
          <w:p>
            <w:pPr>
              <w:pStyle w:val="TableText"/>
            </w:pPr>
            <w:r>
              <w:rPr>
                <w:b w:val="0"/>
                <w:i w:val="0"/>
              </w:rPr>
              <w:t>Legal Research Assistant + Compliance/Governance Analysis</w:t>
            </w:r>
          </w:p>
        </w:tc>
        <w:tc>
          <w:tcPr>
            <w:tcW w:type="dxa" w:w="2900"/>
            <w:vAlign w:val="top"/>
            <w:shd w:fill="F5F8FB"/>
          </w:tcPr>
          <w:p>
            <w:pPr>
              <w:pStyle w:val="TableText"/>
            </w:pPr>
            <w:r>
              <w:rPr>
                <w:b w:val="0"/>
                <w:i w:val="0"/>
              </w:rPr>
              <w:t>Analysis + requested artifacts</w:t>
            </w:r>
          </w:p>
        </w:tc>
        <w:tc>
          <w:tcPr>
            <w:tcW w:type="dxa" w:w="1730"/>
            <w:vAlign w:val="top"/>
            <w:shd w:fill="F5F8FB"/>
          </w:tcPr>
          <w:p>
            <w:pPr>
              <w:pStyle w:val="TableText"/>
            </w:pPr>
            <w:r>
              <w:rPr>
                <w:b w:val="0"/>
                <w:i w:val="0"/>
              </w:rPr>
              <w:t>See Blackboard</w:t>
            </w:r>
          </w:p>
        </w:tc>
        <w:tc>
          <w:tcPr>
            <w:tcW w:type="dxa" w:w="1000"/>
            <w:vAlign w:val="top"/>
            <w:shd w:fill="F5F8FB"/>
          </w:tcPr>
          <w:p>
            <w:pPr>
              <w:pStyle w:val="TableText"/>
            </w:pPr>
            <w:r>
              <w:rPr>
                <w:b w:val="0"/>
                <w:i w:val="0"/>
              </w:rPr>
              <w:t>25</w:t>
            </w:r>
          </w:p>
        </w:tc>
      </w:tr>
      <w:tr>
        <w:trPr>
          <w:cantSplit/>
        </w:trPr>
        <w:tc>
          <w:tcPr>
            <w:tcW w:type="dxa" w:w="4450"/>
            <w:vAlign w:val="top"/>
            <w:shd w:fill="EAF2FA"/>
          </w:tcPr>
          <w:p>
            <w:pPr>
              <w:pStyle w:val="TableText"/>
            </w:pPr>
            <w:r>
              <w:rPr>
                <w:b w:val="0"/>
                <w:i w:val="0"/>
              </w:rPr>
              <w:t>Compliance Checklist</w:t>
            </w:r>
          </w:p>
        </w:tc>
        <w:tc>
          <w:tcPr>
            <w:tcW w:type="dxa" w:w="2900"/>
            <w:vAlign w:val="top"/>
            <w:shd w:fill="EAF2FA"/>
          </w:tcPr>
          <w:p>
            <w:pPr>
              <w:pStyle w:val="TableText"/>
            </w:pPr>
            <w:r>
              <w:rPr>
                <w:b w:val="0"/>
                <w:i w:val="0"/>
              </w:rPr>
              <w:t>Portfolio milestone</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15</w:t>
            </w:r>
          </w:p>
        </w:tc>
      </w:tr>
      <w:tr>
        <w:trPr>
          <w:cantSplit/>
        </w:trPr>
        <w:tc>
          <w:tcPr>
            <w:tcW w:type="dxa" w:w="4450"/>
            <w:vAlign w:val="top"/>
            <w:shd w:fill="F5F8FB"/>
          </w:tcPr>
          <w:p>
            <w:pPr>
              <w:pStyle w:val="TableText"/>
            </w:pPr>
            <w:r>
              <w:rPr>
                <w:b w:val="0"/>
                <w:i w:val="0"/>
              </w:rPr>
              <w:t>TOTAL</w:t>
            </w:r>
          </w:p>
        </w:tc>
        <w:tc>
          <w:tcPr>
            <w:tcW w:type="dxa" w:w="2900"/>
            <w:vAlign w:val="top"/>
            <w:shd w:fill="F5F8FB"/>
          </w:tcPr>
          <w:p>
            <w:pPr>
              <w:pStyle w:val="TableText"/>
            </w:pPr>
          </w:p>
        </w:tc>
        <w:tc>
          <w:tcPr>
            <w:tcW w:type="dxa" w:w="1730"/>
            <w:vAlign w:val="top"/>
            <w:shd w:fill="F5F8FB"/>
          </w:tcPr>
          <w:p>
            <w:pPr>
              <w:pStyle w:val="TableText"/>
            </w:pPr>
          </w:p>
        </w:tc>
        <w:tc>
          <w:tcPr>
            <w:tcW w:type="dxa" w:w="1000"/>
            <w:vAlign w:val="top"/>
            <w:shd w:fill="F5F8FB"/>
          </w:tcPr>
          <w:p>
            <w:pPr>
              <w:pStyle w:val="TableText"/>
            </w:pPr>
            <w:r>
              <w:rPr>
                <w:b w:val="0"/>
                <w:i w:val="0"/>
              </w:rPr>
              <w:t>50</w:t>
            </w:r>
          </w:p>
        </w:tc>
      </w:tr>
    </w:tbl>
    <w:p>
      <w:pPr>
        <w:pStyle w:val="Heading4"/>
      </w:pPr>
      <w:r>
        <w:rPr>
          <w:b w:val="0"/>
          <w:i w:val="0"/>
        </w:rPr>
        <w:t>Before You Submit</w:t>
      </w:r>
    </w:p>
    <w:p>
      <w:pPr>
        <w:pStyle w:val="ListBullet"/>
        <w:numPr>
          <w:ilvl w:val="0"/>
          <w:numId w:val="86"/>
        </w:numPr>
      </w:pPr>
      <w:r>
        <w:rPr>
          <w:b w:val="0"/>
          <w:i w:val="0"/>
        </w:rPr>
        <w:t>Check that each required prompt component is visibly addressed, using descriptive headings.</w:t>
      </w:r>
    </w:p>
    <w:p>
      <w:pPr>
        <w:pStyle w:val="ListBullet"/>
        <w:numPr>
          <w:ilvl w:val="0"/>
          <w:numId w:val="86"/>
        </w:numPr>
      </w:pPr>
      <w:r>
        <w:rPr>
          <w:b w:val="0"/>
          <w:i w:val="0"/>
        </w:rPr>
        <w:t>Match the discussion claim to the analysis evidence and the portfolio decision. Explain a disagreement rather than hiding it.</w:t>
      </w:r>
    </w:p>
    <w:p>
      <w:pPr>
        <w:pStyle w:val="ListBullet"/>
        <w:numPr>
          <w:ilvl w:val="0"/>
          <w:numId w:val="86"/>
        </w:numPr>
      </w:pPr>
      <w:r>
        <w:rPr>
          <w:b w:val="0"/>
          <w:i w:val="0"/>
        </w:rPr>
        <w:t>Keep references traceable: name the chapter or section, identify external sources, and date time-sensitive evidence.</w:t>
      </w:r>
    </w:p>
    <w:p>
      <w:pPr>
        <w:pStyle w:val="ListBullet"/>
        <w:numPr>
          <w:ilvl w:val="0"/>
          <w:numId w:val="86"/>
        </w:numPr>
      </w:pPr>
      <w:r>
        <w:rPr>
          <w:b w:val="0"/>
          <w:i w:val="0"/>
        </w:rPr>
        <w:t>Confirm that diagrams and tables are readable and that the submitted files open normally.</w:t>
      </w:r>
    </w:p>
    <w:p>
      <w:pPr>
        <w:pStyle w:val="ListBullet"/>
        <w:numPr>
          <w:ilvl w:val="0"/>
          <w:numId w:val="86"/>
        </w:numPr>
      </w:pPr>
      <w:r>
        <w:rPr>
          <w:b w:val="0"/>
          <w:i w:val="0"/>
        </w:rPr>
        <w:t>Label assumptions, illustrative examples, measured observations, and projections consistently.</w:t>
      </w:r>
    </w:p>
    <w:p>
      <w:pPr>
        <w:pStyle w:val="ListBullet"/>
        <w:numPr>
          <w:ilvl w:val="0"/>
          <w:numId w:val="86"/>
        </w:numPr>
      </w:pPr>
      <w:r>
        <w:rPr>
          <w:b w:val="0"/>
          <w:i w:val="0"/>
        </w:rPr>
        <w:t>Read the rubric once as a reviewer. Identify where the evidence for each criterion appears.</w:t>
      </w:r>
    </w:p>
    <w:p>
      <w:pPr>
        <w:pStyle w:val="Heading4"/>
      </w:pPr>
      <w:r>
        <w:rPr>
          <w:b w:val="0"/>
          <w:i w:val="0"/>
        </w:rPr>
        <w:t>Portfolio Continuity</w:t>
      </w:r>
    </w:p>
    <w:p>
      <w:pPr/>
      <w:r>
        <w:rPr>
          <w:b w:val="0"/>
          <w:i w:val="0"/>
        </w:rPr>
        <w:t xml:space="preserve">This week’s </w:t>
      </w:r>
      <w:r>
        <w:rPr>
          <w:b/>
          <w:i w:val="0"/>
        </w:rPr>
        <w:t>Compliance Checklist</w:t>
      </w:r>
      <w:r>
        <w:rPr>
          <w:b w:val="0"/>
          <w:i w:val="0"/>
        </w:rPr>
        <w:t xml:space="preserve"> becomes part 14 of the same research-assistant portfolio. Keep the submitted version, feedback, and a revised version with a short change note. In Week 16, reconcile the fifteen artifacts into one design. Do not change the project domain casually; if a change is necessary, explain its effect on earlier decisions.</w:t>
      </w:r>
    </w:p>
    <w:p>
      <w:pPr>
        <w:pStyle w:val="Heading4"/>
      </w:pPr>
      <w:r>
        <w:rPr>
          <w:b w:val="0"/>
          <w:i w:val="0"/>
        </w:rPr>
        <w:t>Self-Check for Understanding</w:t>
      </w:r>
    </w:p>
    <w:p>
      <w:pPr/>
      <w:r>
        <w:rPr>
          <w:b w:val="0"/>
          <w:i w:val="0"/>
        </w:rPr>
        <w:t>Before closing the week, ask yourself: What decision can I now defend more clearly? Which alternative did I reject, and why? What evidence would change my mind? Where does the user experience a failure if my assumptions are wrong? These are reflection prompts to improve the three submissions, not an additional graded assignment.</w:t>
      </w:r>
    </w:p>
    <w:p>
      <w:pPr>
        <w:pStyle w:val="Submission"/>
        <w:ind w:left="144" w:right="144"/>
        <w:shd w:fill="EAF3E5"/>
      </w:pPr>
      <w:r>
        <w:rPr>
          <w:b w:val="0"/>
          <w:i w:val="0"/>
        </w:rPr>
        <w:t>Submission check: Use the correct Blackboard item for each assignment. Retain a local editable copy and verify the uploaded file preview. Use the dates and time zone configured by your instructor.</w:t>
      </w:r>
    </w:p>
    <w:sectPr w:rsidR="00FC693F" w:rsidRPr="0006063C" w:rsidSect="00034616">
      <w:footerReference w:type="default" r:id="rId9"/>
      <w:headerReference w:type="default" r:id="rId10"/>
      <w:pgSz w:w="12240" w:h="15840"/>
      <w:pgMar w:top="1080" w:right="1080" w:bottom="1080" w:left="1080" w:header="432" w:footer="461"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Generative AI | First Open Edition | Week 14 Module Guide</w:t>
    </w:r>
  </w:p>
  <w:p>
    <w:pPr>
      <w:pStyle w:val="Footer"/>
    </w:pPr>
    <w:r>
      <w:t>Law, Policy, and Governance of 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0">
    <w:multiLevelType w:val="singleLevel"/>
    <w:lvl w:ilvl="0">
      <w:start w:val="1"/>
      <w:numFmt w:val="bullet"/>
      <w:lvlText w:val="•"/>
      <w:suff w:val="space"/>
      <w:lvlJc w:val="left"/>
      <w:pPr>
        <w:tabs>
          <w:tab w:val="num" w:pos="360"/>
        </w:tabs>
        <w:ind w:left="360" w:hanging="180"/>
      </w:pPr>
    </w:lvl>
  </w:abstractNum>
  <w:abstractNum w:abstractNumId="71">
    <w:multiLevelType w:val="singleLevel"/>
    <w:lvl w:ilvl="0">
      <w:start w:val="1"/>
      <w:numFmt w:val="decimal"/>
      <w:lvlText w:val="%1."/>
      <w:suff w:val="space"/>
      <w:lvlJc w:val="left"/>
      <w:pPr>
        <w:tabs>
          <w:tab w:val="num" w:pos="360"/>
        </w:tabs>
        <w:ind w:left="360" w:hanging="180"/>
      </w:pPr>
    </w:lvl>
  </w:abstractNum>
  <w:num w:numId="80">
    <w:abstractNumId w:val="70"/>
    <w:lvlOverride w:ilvl="0">
      <w:startOverride w:val="1"/>
    </w:lvlOverride>
  </w:num>
  <w:num w:numId="81">
    <w:abstractNumId w:val="71"/>
    <w:lvlOverride w:ilvl="0">
      <w:startOverride w:val="1"/>
    </w:lvlOverride>
  </w:num>
  <w:num w:numId="82">
    <w:abstractNumId w:val="71"/>
    <w:lvlOverride w:ilvl="0">
      <w:startOverride w:val="2"/>
    </w:lvlOverride>
  </w:num>
  <w:num w:numId="83">
    <w:abstractNumId w:val="71"/>
    <w:lvlOverride w:ilvl="0">
      <w:startOverride w:val="3"/>
    </w:lvlOverride>
  </w:num>
  <w:num w:numId="84">
    <w:abstractNumId w:val="71"/>
    <w:lvlOverride w:ilvl="0">
      <w:startOverride w:val="4"/>
    </w:lvlOverride>
  </w:num>
  <w:num w:numId="85">
    <w:abstractNumId w:val="71"/>
    <w:lvlOverride w:ilvl="0">
      <w:startOverride w:val="1"/>
    </w:lvlOverride>
  </w:num>
  <w:num w:numId="86">
    <w:abstractNumId w:val="7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59" w:lineRule="auto"/>
    </w:pPr>
    <w:rPr>
      <w:rFonts w:ascii="Arial" w:hAnsi="Arial"/>
      <w:b w:val="0"/>
      <w:color w:val="202B38"/>
      <w:sz w:val="21"/>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59" w:lineRule="auto" w:before="0"/>
    </w:pPr>
    <w:rPr>
      <w:rFonts w:ascii="Arial" w:hAnsi="Arial"/>
      <w:b w:val="0"/>
      <w:color w:val="203864"/>
      <w:sz w:val="16"/>
      <w:rFonts w:ascii="Arial" w:hAnsi="Arial" w:eastAsia="Arial" w:cs="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60" w:after="120" w:line="259" w:lineRule="auto"/>
      <w:outlineLvl w:val="0"/>
    </w:pPr>
    <w:rPr>
      <w:rFonts w:asciiTheme="majorHAnsi" w:eastAsiaTheme="majorEastAsia" w:hAnsiTheme="majorHAnsi" w:cstheme="majorBidi" w:ascii="Arial" w:hAnsi="Arial"/>
      <w:b/>
      <w:bCs/>
      <w:color w:val="203864"/>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widowControl/>
      <w:spacing w:before="160" w:after="120" w:line="259" w:lineRule="auto"/>
      <w:outlineLvl w:val="1"/>
    </w:pPr>
    <w:rPr>
      <w:rFonts w:asciiTheme="majorHAnsi" w:eastAsiaTheme="majorEastAsia" w:hAnsiTheme="majorHAnsi" w:cstheme="majorBidi" w:ascii="Arial" w:hAnsi="Arial"/>
      <w:b/>
      <w:bCs/>
      <w:color w:val="2F65A0"/>
      <w:sz w:val="28"/>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widowControl/>
      <w:spacing w:before="160" w:after="120" w:line="259" w:lineRule="auto"/>
      <w:outlineLvl w:val="2"/>
    </w:pPr>
    <w:rPr>
      <w:rFonts w:asciiTheme="majorHAnsi" w:eastAsiaTheme="majorEastAsia" w:hAnsiTheme="majorHAnsi" w:cstheme="majorBidi" w:ascii="Arial" w:hAnsi="Arial"/>
      <w:b/>
      <w:bCs/>
      <w:color w:val="2F65A0"/>
      <w:sz w:val="24"/>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widowControl/>
      <w:spacing w:before="160" w:after="120" w:line="259" w:lineRule="auto"/>
      <w:outlineLvl w:val="3"/>
    </w:pPr>
    <w:rPr>
      <w:rFonts w:asciiTheme="majorHAnsi" w:eastAsiaTheme="majorEastAsia" w:hAnsiTheme="majorHAnsi" w:cstheme="majorBidi" w:ascii="Arial" w:hAnsi="Arial"/>
      <w:b/>
      <w:bCs/>
      <w:i/>
      <w:iCs/>
      <w:color w:val="2F65A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59" w:lineRule="auto" w:before="0"/>
      <w:contextualSpacing/>
    </w:pPr>
    <w:rPr>
      <w:rFonts w:asciiTheme="majorHAnsi" w:eastAsiaTheme="majorEastAsia" w:hAnsiTheme="majorHAnsi" w:cstheme="majorBidi" w:ascii="Arial" w:hAnsi="Arial"/>
      <w:b/>
      <w:color w:val="203864"/>
      <w:spacing w:val="5"/>
      <w:kern w:val="28"/>
      <w:sz w:val="44"/>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259" w:lineRule="auto"/>
    </w:pPr>
    <w:rPr>
      <w:rFonts w:asciiTheme="majorHAnsi" w:eastAsiaTheme="majorEastAsia" w:hAnsiTheme="majorHAnsi" w:cstheme="majorBidi" w:ascii="Arial" w:hAnsi="Arial"/>
      <w:b w:val="0"/>
      <w:i/>
      <w:iCs/>
      <w:color w:val="202B38"/>
      <w:spacing w:val="15"/>
      <w:sz w:val="24"/>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100" w:line="259" w:lineRule="auto"/>
      <w:contextualSpacing/>
    </w:pPr>
    <w:rPr>
      <w:rFonts w:ascii="Arial" w:hAnsi="Arial"/>
      <w:b w:val="0"/>
      <w:color w:val="202B38"/>
      <w:sz w:val="21"/>
      <w:rFonts w:ascii="Arial" w:hAnsi="Arial" w:eastAsia="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100" w:line="259" w:lineRule="auto"/>
      <w:contextualSpacing/>
    </w:pPr>
    <w:rPr>
      <w:rFonts w:ascii="Arial" w:hAnsi="Arial"/>
      <w:b w:val="0"/>
      <w:color w:val="202B38"/>
      <w:sz w:val="21"/>
      <w:rFonts w:ascii="Arial" w:hAnsi="Arial" w:eastAsia="Arial" w:cs="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widowControl/>
      <w:spacing w:before="0" w:after="100" w:line="259" w:lineRule="auto"/>
    </w:pPr>
    <w:rPr>
      <w:rFonts w:ascii="Arial" w:hAnsi="Arial"/>
      <w:b/>
      <w:color w:val="2F65A0"/>
      <w:sz w:val="22"/>
      <w:rFonts w:ascii="Arial" w:hAnsi="Arial" w:eastAsia="Arial" w:cs="Arial"/>
    </w:rPr>
  </w:style>
  <w:style w:type="paragraph" w:customStyle="1" w:styleId="SectionBand">
    <w:name w:val="Section Band"/>
    <w:pPr>
      <w:widowControl/>
      <w:spacing w:before="140" w:after="120" w:line="259" w:lineRule="auto"/>
    </w:pPr>
    <w:rPr>
      <w:rFonts w:ascii="Arial" w:hAnsi="Arial"/>
      <w:b/>
      <w:color w:val="203864"/>
      <w:sz w:val="20"/>
      <w:rFonts w:ascii="Arial" w:hAnsi="Arial" w:eastAsia="Arial" w:cs="Arial"/>
    </w:rPr>
  </w:style>
  <w:style w:type="paragraph" w:customStyle="1" w:styleId="TableText">
    <w:name w:val="Table Text"/>
    <w:pPr>
      <w:widowControl/>
      <w:spacing w:before="0" w:after="60" w:line="259" w:lineRule="auto"/>
    </w:pPr>
    <w:rPr>
      <w:rFonts w:ascii="Arial" w:hAnsi="Arial"/>
      <w:b w:val="0"/>
      <w:color w:val="202B38"/>
      <w:sz w:val="19"/>
      <w:rFonts w:ascii="Arial" w:hAnsi="Arial" w:eastAsia="Arial" w:cs="Arial"/>
    </w:rPr>
  </w:style>
  <w:style w:type="paragraph" w:customStyle="1" w:styleId="Guidance">
    <w:name w:val="Guidance"/>
    <w:pPr>
      <w:keepLines/>
      <w:widowControl/>
      <w:spacing w:before="100" w:after="160" w:line="259" w:lineRule="auto"/>
    </w:pPr>
    <w:rPr>
      <w:rFonts w:ascii="Arial" w:hAnsi="Arial"/>
      <w:b w:val="0"/>
      <w:color w:val="202B38"/>
      <w:sz w:val="19"/>
      <w:rFonts w:ascii="Arial" w:hAnsi="Arial" w:eastAsia="Arial" w:cs="Arial"/>
    </w:rPr>
  </w:style>
  <w:style w:type="paragraph" w:customStyle="1" w:styleId="Submission">
    <w:name w:val="Submission"/>
    <w:pPr>
      <w:keepLines/>
      <w:widowControl/>
      <w:spacing w:before="100" w:after="160" w:line="259" w:lineRule="auto"/>
    </w:pPr>
    <w:rPr>
      <w:rFonts w:ascii="Arial" w:hAnsi="Arial"/>
      <w:b w:val="0"/>
      <w:color w:val="202B38"/>
      <w:sz w:val="20"/>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yperlink" Target="https://proff-amakobe.github.io/oer-books/Generative-AI/original/14-law-policy.html" TargetMode="External"/><Relationship Id="rId12" Type="http://schemas.openxmlformats.org/officeDocument/2006/relationships/hyperlink" Target="https://www.oreilly.com/library/view/ai-engineering/9781098166298/" TargetMode="External"/><Relationship Id="rId13" Type="http://schemas.openxmlformats.org/officeDocument/2006/relationships/hyperlink" Target="https://github.com/chiphuyen/aie-book/blob/main/ToC.md" TargetMode="External"/><Relationship Id="rId14" Type="http://schemas.openxmlformats.org/officeDocument/2006/relationships/hyperlink" Target="https://digital-strategy.ec.europa.eu/en/policies/regulatory-framework-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AI — Blackboard Module Guides</dc:title>
  <dc:subject>Graduate course | First Open Edition</dc:subject>
  <dc:creator>Moody Amakobe</dc:creator>
  <cp:keywords>Generative AI, Blackboard, weekly module guides</cp:keywords>
  <dc:description>generated by python-docx</dc:description>
  <cp:lastModifiedBy/>
  <cp:revision>1</cp:revision>
  <dcterms:created xsi:type="dcterms:W3CDTF">2013-12-23T23:15:00Z</dcterms:created>
  <dcterms:modified xsi:type="dcterms:W3CDTF">2013-12-23T23:15:00Z</dcterms:modified>
  <cp:category/>
</cp:coreProperties>
</file>