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Kicker"/>
      </w:pPr>
      <w:r>
        <w:rPr>
          <w:b w:val="0"/>
          <w:i w:val="0"/>
        </w:rPr>
        <w:t>GENERATIVE AI</w:t>
      </w:r>
    </w:p>
    <w:p>
      <w:pPr/>
      <w:r>
        <w:rPr>
          <w:b w:val="0"/>
          <w:i w:val="0"/>
        </w:rPr>
        <w:t>Graduate Course | First Open Edition</w:t>
      </w:r>
    </w:p>
    <w:p>
      <w:pPr>
        <w:pStyle w:val="Title"/>
      </w:pPr>
      <w:r>
        <w:rPr>
          <w:b w:val="0"/>
          <w:i w:val="0"/>
        </w:rPr>
        <w:t>Week 16 Module Guide</w:t>
      </w:r>
    </w:p>
    <w:p>
      <w:pPr>
        <w:pStyle w:val="Heading2"/>
      </w:pPr>
      <w:r>
        <w:rPr>
          <w:b w:val="0"/>
          <w:i w:val="0"/>
        </w:rPr>
        <w:t>Final Project Demonstration, Portfolio Synthesis, and Reflection</w:t>
      </w:r>
    </w:p>
    <w:p>
      <w:pPr/>
      <w:r>
        <w:rPr>
          <w:b/>
          <w:i w:val="0"/>
        </w:rPr>
        <w:t>Chapter:</w:t>
      </w:r>
      <w:r>
        <w:rPr>
          <w:b w:val="0"/>
          <w:i w:val="0"/>
        </w:rPr>
        <w:t xml:space="preserve"> Course Synthesis — No New Chapter</w:t>
      </w:r>
    </w:p>
    <w:p>
      <w:pPr/>
      <w:r>
        <w:rPr>
          <w:b/>
          <w:i w:val="0"/>
        </w:rPr>
        <w:t>Project:</w:t>
      </w:r>
      <w:r>
        <w:rPr>
          <w:b w:val="0"/>
          <w:i w:val="0"/>
        </w:rPr>
        <w:t xml:space="preserve"> Final Integrated Portfolio &amp; Demonstration</w:t>
      </w:r>
    </w:p>
    <w:p>
      <w:pPr/>
      <w:r>
        <w:rPr>
          <w:b/>
          <w:i w:val="0"/>
        </w:rPr>
        <w:t>Est. Total Time:</w:t>
      </w:r>
      <w:r>
        <w:rPr>
          <w:b w:val="0"/>
          <w:i w:val="0"/>
        </w:rPr>
        <w:t xml:space="preserve"> Approx. 6–8 hours across the week</w:t>
      </w:r>
    </w:p>
    <w:p>
      <w:pPr>
        <w:pStyle w:val="SectionBand"/>
      </w:pPr>
      <w:r>
        <w:rPr>
          <w:b w:val="0"/>
          <w:i w:val="0"/>
        </w:rPr>
        <w:t>SECTION 1 — MODULE INTRODUCTION &amp; OBJECTIVES</w:t>
      </w:r>
    </w:p>
    <w:p>
      <w:pPr>
        <w:pStyle w:val="Heading3"/>
      </w:pPr>
      <w:r>
        <w:rPr>
          <w:b w:val="0"/>
          <w:i w:val="0"/>
        </w:rPr>
        <w:t>1. Week 16 Introduction &amp; Objectives</w:t>
      </w:r>
    </w:p>
    <w:p>
      <w:pPr>
        <w:pStyle w:val="Heading4"/>
      </w:pPr>
      <w:r>
        <w:rPr>
          <w:b w:val="0"/>
          <w:i w:val="0"/>
        </w:rPr>
        <w:t>Module Introduction</w:t>
      </w:r>
    </w:p>
    <w:p>
      <w:pPr/>
      <w:r>
        <w:rPr>
          <w:b w:val="0"/>
          <w:i w:val="0"/>
        </w:rPr>
        <w:t>You have carried one research-assistant design through fifteen milestones. Now bring those decisions together and explain what they make possible for your user. Your portfolio should show how model selection, prompts, retrieval, autonomy, evaluation, and responsibility fit the same problem, not fifteen different versions of it.</w:t>
      </w:r>
    </w:p>
    <w:p>
      <w:pPr/>
      <w:r>
        <w:rPr>
          <w:b w:val="0"/>
          <w:i w:val="0"/>
        </w:rPr>
        <w:t>Chapter 15 calls the Deployment Plan &amp; Forward Look “the final piece before your Week 16 demo.” This week is that handoff. Revisit the questions that opened your charter: what problem are you solving, why does it need generative AI, and what would success look like? Show how the evidence you gathered changed your answers.</w:t>
      </w:r>
    </w:p>
    <w:p>
      <w:pPr/>
      <w:r>
        <w:rPr>
          <w:b w:val="0"/>
          <w:i w:val="0"/>
        </w:rPr>
        <w:t>Your final demonstration is an opportunity to defend a coherent design, including its limits. A live prototype is optional; a clear storyboarded walkthrough can make the same decisions visible. The aim is to show what you understand, why you chose this approach, and what you would need to learn before putting it in front of real users.</w:t>
      </w:r>
    </w:p>
    <w:p>
      <w:pPr>
        <w:pStyle w:val="Guidance"/>
        <w:ind w:left="144" w:right="144"/>
        <w:shd w:fill="FFF4CC"/>
      </w:pPr>
      <w:r>
        <w:rPr>
          <w:b w:val="0"/>
          <w:i w:val="0"/>
        </w:rPr>
        <w:t>Course Author Guidance Note: Keep the author’s narrative and the research-assistant project connection intact. Adapt examples used in discussion to the cohort, but retain the approved outcomes, milestone requirements, and assessment totals. The written Start Here item supplies Blackboard orientation.</w:t>
      </w:r>
    </w:p>
    <w:p>
      <w:r>
        <w:br w:type="page"/>
      </w:r>
    </w:p>
    <w:p>
      <w:pPr>
        <w:pStyle w:val="Heading3"/>
      </w:pPr>
      <w:r>
        <w:rPr>
          <w:b w:val="0"/>
          <w:i w:val="0"/>
        </w:rPr>
        <w:t>Weekly Objectives</w:t>
      </w:r>
    </w:p>
    <w:p>
      <w:pPr/>
      <w:r>
        <w:rPr>
          <w:b w:val="0"/>
          <w:i w:val="0"/>
        </w:rPr>
        <w:t>After completing this week, you will be able to demonstrate the following outcomes through the discussion, applied work, and portfolio evidence.</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450"/>
        <w:gridCol w:w="1450"/>
        <w:gridCol w:w="5900"/>
        <w:gridCol w:w="2280"/>
      </w:tblGrid>
      <w:tr>
        <w:trPr>
          <w:cantSplit/>
          <w:tblHeader/>
        </w:trPr>
        <w:tc>
          <w:tcPr>
            <w:tcW w:type="dxa" w:w="450"/>
            <w:vAlign w:val="top"/>
            <w:shd w:fill="203864"/>
          </w:tcPr>
          <w:p>
            <w:pPr>
              <w:pStyle w:val="TableText"/>
            </w:pPr>
            <w:r>
              <w:rPr>
                <w:b/>
                <w:i w:val="0"/>
                <w:color w:val="FFFFFF"/>
              </w:rPr>
              <w:t>#</w:t>
            </w:r>
          </w:p>
        </w:tc>
        <w:tc>
          <w:tcPr>
            <w:tcW w:type="dxa" w:w="1450"/>
            <w:vAlign w:val="top"/>
            <w:shd w:fill="203864"/>
          </w:tcPr>
          <w:p>
            <w:pPr>
              <w:pStyle w:val="TableText"/>
            </w:pPr>
            <w:r>
              <w:rPr>
                <w:b/>
                <w:i w:val="0"/>
                <w:color w:val="FFFFFF"/>
              </w:rPr>
              <w:t>Bloom’s Level</w:t>
            </w:r>
          </w:p>
        </w:tc>
        <w:tc>
          <w:tcPr>
            <w:tcW w:type="dxa" w:w="5900"/>
            <w:vAlign w:val="top"/>
            <w:shd w:fill="203864"/>
          </w:tcPr>
          <w:p>
            <w:pPr>
              <w:pStyle w:val="TableText"/>
            </w:pPr>
            <w:r>
              <w:rPr>
                <w:b/>
                <w:i w:val="0"/>
                <w:color w:val="FFFFFF"/>
              </w:rPr>
              <w:t>Objective</w:t>
            </w:r>
          </w:p>
        </w:tc>
        <w:tc>
          <w:tcPr>
            <w:tcW w:type="dxa" w:w="2280"/>
            <w:vAlign w:val="top"/>
            <w:shd w:fill="203864"/>
          </w:tcPr>
          <w:p>
            <w:pPr>
              <w:pStyle w:val="TableText"/>
            </w:pPr>
            <w:r>
              <w:rPr>
                <w:b/>
                <w:i w:val="0"/>
                <w:color w:val="FFFFFF"/>
              </w:rPr>
              <w:t>Aligns to</w:t>
            </w:r>
          </w:p>
        </w:tc>
      </w:tr>
      <w:tr>
        <w:trPr>
          <w:cantSplit/>
        </w:trPr>
        <w:tc>
          <w:tcPr>
            <w:tcW w:type="dxa" w:w="450"/>
            <w:vAlign w:val="top"/>
            <w:shd w:fill="EAF2FA"/>
          </w:tcPr>
          <w:p>
            <w:pPr>
              <w:pStyle w:val="TableText"/>
            </w:pPr>
            <w:r>
              <w:rPr>
                <w:b w:val="0"/>
                <w:i w:val="0"/>
              </w:rPr>
              <w:t>1</w:t>
            </w:r>
          </w:p>
        </w:tc>
        <w:tc>
          <w:tcPr>
            <w:tcW w:type="dxa" w:w="1450"/>
            <w:vAlign w:val="top"/>
            <w:shd w:fill="EAF2FA"/>
          </w:tcPr>
          <w:p>
            <w:pPr>
              <w:pStyle w:val="TableText"/>
            </w:pPr>
            <w:r>
              <w:rPr>
                <w:b w:val="0"/>
                <w:i w:val="0"/>
              </w:rPr>
              <w:t>Analysis</w:t>
            </w:r>
          </w:p>
        </w:tc>
        <w:tc>
          <w:tcPr>
            <w:tcW w:type="dxa" w:w="5900"/>
            <w:vAlign w:val="top"/>
            <w:shd w:fill="EAF2FA"/>
          </w:tcPr>
          <w:p>
            <w:pPr>
              <w:pStyle w:val="TableText"/>
            </w:pPr>
            <w:r>
              <w:rPr>
                <w:b w:val="0"/>
                <w:i w:val="0"/>
              </w:rPr>
              <w:t>Analyze how model architecture and behavior informed the final design.</w:t>
            </w:r>
          </w:p>
        </w:tc>
        <w:tc>
          <w:tcPr>
            <w:tcW w:type="dxa" w:w="2280"/>
            <w:vAlign w:val="top"/>
            <w:shd w:fill="EAF2FA"/>
          </w:tcPr>
          <w:p>
            <w:pPr>
              <w:pStyle w:val="TableText"/>
            </w:pPr>
            <w:r>
              <w:rPr>
                <w:b w:val="0"/>
                <w:i w:val="0"/>
              </w:rPr>
              <w:t>CO 1 / PSLOs 1</w:t>
            </w:r>
          </w:p>
        </w:tc>
      </w:tr>
      <w:tr>
        <w:trPr>
          <w:cantSplit/>
        </w:trPr>
        <w:tc>
          <w:tcPr>
            <w:tcW w:type="dxa" w:w="450"/>
            <w:vAlign w:val="top"/>
            <w:shd w:fill="F5F8FB"/>
          </w:tcPr>
          <w:p>
            <w:pPr>
              <w:pStyle w:val="TableText"/>
            </w:pPr>
            <w:r>
              <w:rPr>
                <w:b w:val="0"/>
                <w:i w:val="0"/>
              </w:rPr>
              <w:t>2</w:t>
            </w:r>
          </w:p>
        </w:tc>
        <w:tc>
          <w:tcPr>
            <w:tcW w:type="dxa" w:w="1450"/>
            <w:vAlign w:val="top"/>
            <w:shd w:fill="F5F8FB"/>
          </w:tcPr>
          <w:p>
            <w:pPr>
              <w:pStyle w:val="TableText"/>
            </w:pPr>
            <w:r>
              <w:rPr>
                <w:b w:val="0"/>
                <w:i w:val="0"/>
              </w:rPr>
              <w:t>Creation</w:t>
            </w:r>
          </w:p>
        </w:tc>
        <w:tc>
          <w:tcPr>
            <w:tcW w:type="dxa" w:w="5900"/>
            <w:vAlign w:val="top"/>
            <w:shd w:fill="F5F8FB"/>
          </w:tcPr>
          <w:p>
            <w:pPr>
              <w:pStyle w:val="TableText"/>
            </w:pPr>
            <w:r>
              <w:rPr>
                <w:b w:val="0"/>
                <w:i w:val="0"/>
              </w:rPr>
              <w:t>Design a coherent system architecture that integrates the portfolio decisions.</w:t>
            </w:r>
          </w:p>
        </w:tc>
        <w:tc>
          <w:tcPr>
            <w:tcW w:type="dxa" w:w="2280"/>
            <w:vAlign w:val="top"/>
            <w:shd w:fill="F5F8FB"/>
          </w:tcPr>
          <w:p>
            <w:pPr>
              <w:pStyle w:val="TableText"/>
            </w:pPr>
            <w:r>
              <w:rPr>
                <w:b w:val="0"/>
                <w:i w:val="0"/>
              </w:rPr>
              <w:t>CO 2 / PSLOs 2, 3</w:t>
            </w:r>
          </w:p>
        </w:tc>
      </w:tr>
      <w:tr>
        <w:trPr>
          <w:cantSplit/>
        </w:trPr>
        <w:tc>
          <w:tcPr>
            <w:tcW w:type="dxa" w:w="450"/>
            <w:vAlign w:val="top"/>
            <w:shd w:fill="EAF2FA"/>
          </w:tcPr>
          <w:p>
            <w:pPr>
              <w:pStyle w:val="TableText"/>
            </w:pPr>
            <w:r>
              <w:rPr>
                <w:b w:val="0"/>
                <w:i w:val="0"/>
              </w:rPr>
              <w:t>3</w:t>
            </w:r>
          </w:p>
        </w:tc>
        <w:tc>
          <w:tcPr>
            <w:tcW w:type="dxa" w:w="1450"/>
            <w:vAlign w:val="top"/>
            <w:shd w:fill="EAF2FA"/>
          </w:tcPr>
          <w:p>
            <w:pPr>
              <w:pStyle w:val="TableText"/>
            </w:pPr>
            <w:r>
              <w:rPr>
                <w:b w:val="0"/>
                <w:i w:val="0"/>
              </w:rPr>
              <w:t>Evaluation</w:t>
            </w:r>
          </w:p>
        </w:tc>
        <w:tc>
          <w:tcPr>
            <w:tcW w:type="dxa" w:w="5900"/>
            <w:vAlign w:val="top"/>
            <w:shd w:fill="EAF2FA"/>
          </w:tcPr>
          <w:p>
            <w:pPr>
              <w:pStyle w:val="TableText"/>
            </w:pPr>
            <w:r>
              <w:rPr>
                <w:b w:val="0"/>
                <w:i w:val="0"/>
              </w:rPr>
              <w:t>Evaluate the design using tests, criteria, and explicitly bounded evidence.</w:t>
            </w:r>
          </w:p>
        </w:tc>
        <w:tc>
          <w:tcPr>
            <w:tcW w:type="dxa" w:w="2280"/>
            <w:vAlign w:val="top"/>
            <w:shd w:fill="EAF2FA"/>
          </w:tcPr>
          <w:p>
            <w:pPr>
              <w:pStyle w:val="TableText"/>
            </w:pPr>
            <w:r>
              <w:rPr>
                <w:b w:val="0"/>
                <w:i w:val="0"/>
              </w:rPr>
              <w:t>CO 3 / PSLOs 3, 4</w:t>
            </w:r>
          </w:p>
        </w:tc>
      </w:tr>
      <w:tr>
        <w:trPr>
          <w:cantSplit/>
        </w:trPr>
        <w:tc>
          <w:tcPr>
            <w:tcW w:type="dxa" w:w="450"/>
            <w:vAlign w:val="top"/>
            <w:shd w:fill="F5F8FB"/>
          </w:tcPr>
          <w:p>
            <w:pPr>
              <w:pStyle w:val="TableText"/>
            </w:pPr>
            <w:r>
              <w:rPr>
                <w:b w:val="0"/>
                <w:i w:val="0"/>
              </w:rPr>
              <w:t>4</w:t>
            </w:r>
          </w:p>
        </w:tc>
        <w:tc>
          <w:tcPr>
            <w:tcW w:type="dxa" w:w="1450"/>
            <w:vAlign w:val="top"/>
            <w:shd w:fill="F5F8FB"/>
          </w:tcPr>
          <w:p>
            <w:pPr>
              <w:pStyle w:val="TableText"/>
            </w:pPr>
            <w:r>
              <w:rPr>
                <w:b w:val="0"/>
                <w:i w:val="0"/>
              </w:rPr>
              <w:t>Evaluation</w:t>
            </w:r>
          </w:p>
        </w:tc>
        <w:tc>
          <w:tcPr>
            <w:tcW w:type="dxa" w:w="5900"/>
            <w:vAlign w:val="top"/>
            <w:shd w:fill="F5F8FB"/>
          </w:tcPr>
          <w:p>
            <w:pPr>
              <w:pStyle w:val="TableText"/>
            </w:pPr>
            <w:r>
              <w:rPr>
                <w:b w:val="0"/>
                <w:i w:val="0"/>
              </w:rPr>
              <w:t>Assess ethical, legal, security, and societal responsibilities across the system.</w:t>
            </w:r>
          </w:p>
        </w:tc>
        <w:tc>
          <w:tcPr>
            <w:tcW w:type="dxa" w:w="2280"/>
            <w:vAlign w:val="top"/>
            <w:shd w:fill="F5F8FB"/>
          </w:tcPr>
          <w:p>
            <w:pPr>
              <w:pStyle w:val="TableText"/>
            </w:pPr>
            <w:r>
              <w:rPr>
                <w:b w:val="0"/>
                <w:i w:val="0"/>
              </w:rPr>
              <w:t>CO 4 / PSLOs 5</w:t>
            </w:r>
          </w:p>
        </w:tc>
      </w:tr>
      <w:tr>
        <w:trPr>
          <w:cantSplit/>
        </w:trPr>
        <w:tc>
          <w:tcPr>
            <w:tcW w:type="dxa" w:w="450"/>
            <w:vAlign w:val="top"/>
            <w:shd w:fill="EAF2FA"/>
          </w:tcPr>
          <w:p>
            <w:pPr>
              <w:pStyle w:val="TableText"/>
            </w:pPr>
            <w:r>
              <w:rPr>
                <w:b w:val="0"/>
                <w:i w:val="0"/>
              </w:rPr>
              <w:t>5</w:t>
            </w:r>
          </w:p>
        </w:tc>
        <w:tc>
          <w:tcPr>
            <w:tcW w:type="dxa" w:w="1450"/>
            <w:vAlign w:val="top"/>
            <w:shd w:fill="EAF2FA"/>
          </w:tcPr>
          <w:p>
            <w:pPr>
              <w:pStyle w:val="TableText"/>
            </w:pPr>
            <w:r>
              <w:rPr>
                <w:b w:val="0"/>
                <w:i w:val="0"/>
              </w:rPr>
              <w:t>Creation</w:t>
            </w:r>
          </w:p>
        </w:tc>
        <w:tc>
          <w:tcPr>
            <w:tcW w:type="dxa" w:w="5900"/>
            <w:vAlign w:val="top"/>
            <w:shd w:fill="EAF2FA"/>
          </w:tcPr>
          <w:p>
            <w:pPr>
              <w:pStyle w:val="TableText"/>
            </w:pPr>
            <w:r>
              <w:rPr>
                <w:b w:val="0"/>
                <w:i w:val="0"/>
              </w:rPr>
              <w:t>Synthesize research and project revisions into a defensible final presentation.</w:t>
            </w:r>
          </w:p>
        </w:tc>
        <w:tc>
          <w:tcPr>
            <w:tcW w:type="dxa" w:w="2280"/>
            <w:vAlign w:val="top"/>
            <w:shd w:fill="EAF2FA"/>
          </w:tcPr>
          <w:p>
            <w:pPr>
              <w:pStyle w:val="TableText"/>
            </w:pPr>
            <w:r>
              <w:rPr>
                <w:b w:val="0"/>
                <w:i w:val="0"/>
              </w:rPr>
              <w:t>CO 5 / PSLOs 1, 4, 6</w:t>
            </w:r>
          </w:p>
        </w:tc>
      </w:tr>
    </w:tbl>
    <w:p>
      <w:pPr>
        <w:pStyle w:val="Heading4"/>
      </w:pPr>
      <w:r>
        <w:rPr>
          <w:b w:val="0"/>
          <w:i w:val="0"/>
        </w:rPr>
        <w:t>Approved CO / PSLO Alignment</w:t>
      </w:r>
    </w:p>
    <w:p>
      <w:pPr/>
      <w:r>
        <w:rPr>
          <w:b w:val="0"/>
          <w:i w:val="0"/>
        </w:rPr>
        <w:t xml:space="preserve">This week emphasizes </w:t>
      </w:r>
      <w:r>
        <w:rPr>
          <w:b/>
          <w:i w:val="0"/>
        </w:rPr>
        <w:t>CO 1, CO 2, CO 3, CO 4, CO 5 / PSLOs 1, 2, 3, 4, 5, 6</w:t>
      </w:r>
      <w:r>
        <w:rPr>
          <w:b w:val="0"/>
          <w:i w:val="0"/>
        </w:rPr>
        <w:t>. Each objective uses only the approved CO-to-PSLO mapping; a PSLO code indicates curricular alignment, not that this single week independently demonstrates the entire program outcome.</w:t>
      </w:r>
    </w:p>
    <w:p>
      <w:pPr/>
      <w:r>
        <w:rPr>
          <w:b/>
          <w:i w:val="0"/>
        </w:rPr>
        <w:t>CO 1:</w:t>
      </w:r>
      <w:r>
        <w:rPr>
          <w:b w:val="0"/>
          <w:i w:val="0"/>
        </w:rPr>
        <w:t xml:space="preserve"> Analyze the theoretical foundations, architectures, and underlying mechanisms of Large Language Models and generative artificial intelligence systems.</w:t>
      </w:r>
    </w:p>
    <w:p>
      <w:pPr/>
      <w:r>
        <w:rPr>
          <w:b/>
          <w:i w:val="0"/>
        </w:rPr>
        <w:t>CO 2:</w:t>
      </w:r>
      <w:r>
        <w:rPr>
          <w:b w:val="0"/>
          <w:i w:val="0"/>
        </w:rPr>
        <w:t xml:space="preserve"> Design and implement applications that leverage Large Language Models and generative AI techniques to solve complex computational problems.</w:t>
      </w:r>
    </w:p>
    <w:p>
      <w:pPr/>
      <w:r>
        <w:rPr>
          <w:b/>
          <w:i w:val="0"/>
        </w:rPr>
        <w:t>CO 3:</w:t>
      </w:r>
      <w:r>
        <w:rPr>
          <w:b w:val="0"/>
          <w:i w:val="0"/>
        </w:rPr>
        <w:t xml:space="preserve"> Evaluate the performance, capabilities, limitations, and reliability of Large Language Models using appropriate experimental methodologies and evaluation metrics.</w:t>
      </w:r>
    </w:p>
    <w:p>
      <w:pPr/>
      <w:r>
        <w:rPr>
          <w:b/>
          <w:i w:val="0"/>
        </w:rPr>
        <w:t>CO 4:</w:t>
      </w:r>
      <w:r>
        <w:rPr>
          <w:b w:val="0"/>
          <w:i w:val="0"/>
        </w:rPr>
        <w:t xml:space="preserve"> Assess ethical, societal, legal, and security considerations associated with the development and deployment of generative artificial intelligence systems.</w:t>
      </w:r>
    </w:p>
    <w:p>
      <w:pPr/>
      <w:r>
        <w:rPr>
          <w:b/>
          <w:i w:val="0"/>
        </w:rPr>
        <w:t>CO 5:</w:t>
      </w:r>
      <w:r>
        <w:rPr>
          <w:b w:val="0"/>
          <w:i w:val="0"/>
        </w:rPr>
        <w:t xml:space="preserve"> Investigate and synthesize advanced methodologies, architectures, emerging technologies, and current research trends in Large Language Models and generative artificial intelligence.</w:t>
      </w:r>
    </w:p>
    <w:p>
      <w:pPr>
        <w:pStyle w:val="Guidance"/>
        <w:ind w:left="144" w:right="144"/>
        <w:shd w:fill="FFF4CC"/>
      </w:pPr>
      <w:r>
        <w:rPr>
          <w:b w:val="0"/>
          <w:i w:val="0"/>
        </w:rPr>
        <w:t>Assessment alignment: Judge the discussion for conceptual reasoning and evidence, the applied activity for analysis of a concrete case, and the milestone for a justified project decision. Preserve the approved CO wording. The course map contains the full approved PSLO statements.</w:t>
      </w:r>
    </w:p>
    <w:p>
      <w:r>
        <w:br w:type="page"/>
      </w:r>
    </w:p>
    <w:p>
      <w:pPr>
        <w:pStyle w:val="SectionBand"/>
      </w:pPr>
      <w:r>
        <w:rPr>
          <w:b w:val="0"/>
          <w:i w:val="0"/>
        </w:rPr>
        <w:t>SECTION 2 — WEEK PLAN</w:t>
      </w:r>
    </w:p>
    <w:p>
      <w:pPr>
        <w:pStyle w:val="Heading3"/>
      </w:pPr>
      <w:r>
        <w:rPr>
          <w:b w:val="0"/>
          <w:i w:val="0"/>
        </w:rPr>
        <w:t>2. Week 16 Plan</w:t>
      </w:r>
    </w:p>
    <w:p>
      <w:pPr>
        <w:pStyle w:val="Guidance"/>
        <w:ind w:left="144" w:right="144"/>
        <w:shd w:fill="FFF4CC"/>
      </w:pPr>
      <w:r>
        <w:rPr>
          <w:b w:val="0"/>
          <w:i w:val="0"/>
        </w:rPr>
        <w:t>Course Author Guidance — Suggested Schedule: These day groups are pacing suggestions, not four separate deadlines. Set actual due dates and the course time zone in Blackboard before release. Preserve the sequence and point totals; adjust pacing for the cohort without adding unrelated tasks.</w:t>
      </w:r>
    </w:p>
    <w:p>
      <w:pPr>
        <w:pStyle w:val="Heading4"/>
      </w:pPr>
      <w:r>
        <w:rPr>
          <w:b w:val="0"/>
          <w:i w:val="0"/>
        </w:rPr>
        <w:t>Start Here</w:t>
      </w:r>
    </w:p>
    <w:p>
      <w:pPr/>
      <w:r>
        <w:rPr>
          <w:b w:val="0"/>
          <w:i w:val="0"/>
        </w:rPr>
        <w:t xml:space="preserve">Begin with </w:t>
      </w:r>
      <w:r>
        <w:rPr>
          <w:b/>
          <w:i w:val="0"/>
        </w:rPr>
        <w:t>Week 16 Start Here: Module Overview</w:t>
      </w:r>
      <w:r>
        <w:rPr>
          <w:b w:val="0"/>
          <w:i w:val="0"/>
        </w:rPr>
        <w:t>, a written Blackboard content page. It identifies the reading order, the connection among assignments, and the portfolio artifact. Keep the primary textbook open while working; the companion selection supports the week’s decision rather than replacing the chapter.</w:t>
      </w:r>
    </w:p>
    <w:p>
      <w:pPr>
        <w:pStyle w:val="Heading4"/>
      </w:pPr>
      <w:r>
        <w:rPr>
          <w:b w:val="0"/>
          <w:i w:val="0"/>
        </w:rPr>
        <w:t>Suggested Weekly Schedule</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1850"/>
        <w:gridCol w:w="6450"/>
        <w:gridCol w:w="1780"/>
      </w:tblGrid>
      <w:tr>
        <w:trPr>
          <w:cantSplit/>
          <w:tblHeader/>
        </w:trPr>
        <w:tc>
          <w:tcPr>
            <w:tcW w:type="dxa" w:w="1850"/>
            <w:vAlign w:val="top"/>
            <w:shd w:fill="203864"/>
          </w:tcPr>
          <w:p>
            <w:pPr>
              <w:pStyle w:val="TableText"/>
            </w:pPr>
            <w:r>
              <w:rPr>
                <w:b/>
                <w:i w:val="0"/>
                <w:color w:val="FFFFFF"/>
              </w:rPr>
              <w:t>Pacing group</w:t>
            </w:r>
          </w:p>
        </w:tc>
        <w:tc>
          <w:tcPr>
            <w:tcW w:type="dxa" w:w="6450"/>
            <w:vAlign w:val="top"/>
            <w:shd w:fill="203864"/>
          </w:tcPr>
          <w:p>
            <w:pPr>
              <w:pStyle w:val="TableText"/>
            </w:pPr>
            <w:r>
              <w:rPr>
                <w:b/>
                <w:i w:val="0"/>
                <w:color w:val="FFFFFF"/>
              </w:rPr>
              <w:t>Activities</w:t>
            </w:r>
          </w:p>
        </w:tc>
        <w:tc>
          <w:tcPr>
            <w:tcW w:type="dxa" w:w="1780"/>
            <w:vAlign w:val="top"/>
            <w:shd w:fill="203864"/>
          </w:tcPr>
          <w:p>
            <w:pPr>
              <w:pStyle w:val="TableText"/>
            </w:pPr>
            <w:r>
              <w:rPr>
                <w:b/>
                <w:i w:val="0"/>
                <w:color w:val="FFFFFF"/>
              </w:rPr>
              <w:t>Estimated time</w:t>
            </w:r>
          </w:p>
        </w:tc>
      </w:tr>
      <w:tr>
        <w:trPr>
          <w:cantSplit/>
        </w:trPr>
        <w:tc>
          <w:tcPr>
            <w:tcW w:type="dxa" w:w="1850"/>
            <w:vAlign w:val="top"/>
            <w:shd w:fill="EAF2FA"/>
          </w:tcPr>
          <w:p>
            <w:pPr>
              <w:pStyle w:val="TableText"/>
            </w:pPr>
            <w:r>
              <w:rPr>
                <w:b w:val="0"/>
                <w:i w:val="0"/>
              </w:rPr>
              <w:t>Monday–Tuesday</w:t>
            </w:r>
          </w:p>
        </w:tc>
        <w:tc>
          <w:tcPr>
            <w:tcW w:type="dxa" w:w="6450"/>
            <w:vAlign w:val="top"/>
            <w:shd w:fill="EAF2FA"/>
          </w:tcPr>
          <w:p>
            <w:pPr>
              <w:pStyle w:val="TableText"/>
            </w:pPr>
            <w:r>
              <w:rPr>
                <w:b w:val="0"/>
                <w:i w:val="0"/>
              </w:rPr>
              <w:t>Audit all fifteen milestones and resolve contradictions in the architecture, scope, and evaluation plan.</w:t>
            </w:r>
          </w:p>
        </w:tc>
        <w:tc>
          <w:tcPr>
            <w:tcW w:type="dxa" w:w="1780"/>
            <w:vAlign w:val="top"/>
            <w:shd w:fill="EAF2FA"/>
          </w:tcPr>
          <w:p>
            <w:pPr>
              <w:pStyle w:val="TableText"/>
            </w:pPr>
            <w:r>
              <w:rPr>
                <w:b w:val="0"/>
                <w:i w:val="0"/>
              </w:rPr>
              <w:t>120–150 min</w:t>
            </w:r>
          </w:p>
        </w:tc>
      </w:tr>
      <w:tr>
        <w:trPr>
          <w:cantSplit/>
        </w:trPr>
        <w:tc>
          <w:tcPr>
            <w:tcW w:type="dxa" w:w="1850"/>
            <w:vAlign w:val="top"/>
            <w:shd w:fill="F5F8FB"/>
          </w:tcPr>
          <w:p>
            <w:pPr>
              <w:pStyle w:val="TableText"/>
            </w:pPr>
            <w:r>
              <w:rPr>
                <w:b w:val="0"/>
                <w:i w:val="0"/>
              </w:rPr>
              <w:t>Wednesday–Thursday</w:t>
            </w:r>
          </w:p>
        </w:tc>
        <w:tc>
          <w:tcPr>
            <w:tcW w:type="dxa" w:w="6450"/>
            <w:vAlign w:val="top"/>
            <w:shd w:fill="F5F8FB"/>
          </w:tcPr>
          <w:p>
            <w:pPr>
              <w:pStyle w:val="TableText"/>
            </w:pPr>
            <w:r>
              <w:rPr>
                <w:b w:val="0"/>
                <w:i w:val="0"/>
              </w:rPr>
              <w:t>Revise the integrated portfolio; draft the reflection and demonstration narrative.</w:t>
            </w:r>
          </w:p>
        </w:tc>
        <w:tc>
          <w:tcPr>
            <w:tcW w:type="dxa" w:w="1780"/>
            <w:vAlign w:val="top"/>
            <w:shd w:fill="F5F8FB"/>
          </w:tcPr>
          <w:p>
            <w:pPr>
              <w:pStyle w:val="TableText"/>
            </w:pPr>
            <w:r>
              <w:rPr>
                <w:b w:val="0"/>
                <w:i w:val="0"/>
              </w:rPr>
              <w:t>90–120 min</w:t>
            </w:r>
          </w:p>
        </w:tc>
      </w:tr>
      <w:tr>
        <w:trPr>
          <w:cantSplit/>
        </w:trPr>
        <w:tc>
          <w:tcPr>
            <w:tcW w:type="dxa" w:w="1850"/>
            <w:vAlign w:val="top"/>
            <w:shd w:fill="EAF2FA"/>
          </w:tcPr>
          <w:p>
            <w:pPr>
              <w:pStyle w:val="TableText"/>
            </w:pPr>
            <w:r>
              <w:rPr>
                <w:b w:val="0"/>
                <w:i w:val="0"/>
              </w:rPr>
              <w:t>Friday–Saturday</w:t>
            </w:r>
          </w:p>
        </w:tc>
        <w:tc>
          <w:tcPr>
            <w:tcW w:type="dxa" w:w="6450"/>
            <w:vAlign w:val="top"/>
            <w:shd w:fill="EAF2FA"/>
          </w:tcPr>
          <w:p>
            <w:pPr>
              <w:pStyle w:val="TableText"/>
            </w:pPr>
            <w:r>
              <w:rPr>
                <w:b w:val="0"/>
                <w:i w:val="0"/>
              </w:rPr>
              <w:t>Respond to peers, prepare slides/storyboard, and rehearse the 10–15 minute demonstration.</w:t>
            </w:r>
          </w:p>
        </w:tc>
        <w:tc>
          <w:tcPr>
            <w:tcW w:type="dxa" w:w="1780"/>
            <w:vAlign w:val="top"/>
            <w:shd w:fill="EAF2FA"/>
          </w:tcPr>
          <w:p>
            <w:pPr>
              <w:pStyle w:val="TableText"/>
            </w:pPr>
            <w:r>
              <w:rPr>
                <w:b w:val="0"/>
                <w:i w:val="0"/>
              </w:rPr>
              <w:t>90–120 min</w:t>
            </w:r>
          </w:p>
        </w:tc>
      </w:tr>
      <w:tr>
        <w:trPr>
          <w:cantSplit/>
        </w:trPr>
        <w:tc>
          <w:tcPr>
            <w:tcW w:type="dxa" w:w="1850"/>
            <w:vAlign w:val="top"/>
            <w:shd w:fill="F5F8FB"/>
          </w:tcPr>
          <w:p>
            <w:pPr>
              <w:pStyle w:val="TableText"/>
            </w:pPr>
            <w:r>
              <w:rPr>
                <w:b w:val="0"/>
                <w:i w:val="0"/>
              </w:rPr>
              <w:t>Sunday</w:t>
            </w:r>
          </w:p>
        </w:tc>
        <w:tc>
          <w:tcPr>
            <w:tcW w:type="dxa" w:w="6450"/>
            <w:vAlign w:val="top"/>
            <w:shd w:fill="F5F8FB"/>
          </w:tcPr>
          <w:p>
            <w:pPr>
              <w:pStyle w:val="TableText"/>
            </w:pPr>
            <w:r>
              <w:rPr>
                <w:b w:val="0"/>
                <w:i w:val="0"/>
              </w:rPr>
              <w:t>Perform final consistency checks, submit the portfolio and presentation materials, and complete the demonstration in the instructor’s designated format.</w:t>
            </w:r>
          </w:p>
        </w:tc>
        <w:tc>
          <w:tcPr>
            <w:tcW w:type="dxa" w:w="1780"/>
            <w:vAlign w:val="top"/>
            <w:shd w:fill="F5F8FB"/>
          </w:tcPr>
          <w:p>
            <w:pPr>
              <w:pStyle w:val="TableText"/>
            </w:pPr>
            <w:r>
              <w:rPr>
                <w:b w:val="0"/>
                <w:i w:val="0"/>
              </w:rPr>
              <w:t>60–90 min</w:t>
            </w:r>
          </w:p>
        </w:tc>
      </w:tr>
    </w:tbl>
    <w:p>
      <w:pPr/>
      <w:r>
        <w:rPr>
          <w:b w:val="0"/>
          <w:i w:val="0"/>
        </w:rPr>
        <w:t>The ranges total approximately 360–480 minutes (6–8 hours). Reading, discussion, applied work, and project writing are included. Use focused sections and reuse evidence across connected tasks rather than starting separate projects.</w:t>
      </w:r>
    </w:p>
    <w:p>
      <w:pPr>
        <w:pStyle w:val="Heading4"/>
      </w:pPr>
      <w:r>
        <w:rPr>
          <w:b w:val="0"/>
          <w:i w:val="0"/>
        </w:rPr>
        <w:t>Reminders</w:t>
      </w:r>
    </w:p>
    <w:p>
      <w:pPr>
        <w:pStyle w:val="ListBullet"/>
        <w:numPr>
          <w:ilvl w:val="0"/>
          <w:numId w:val="80"/>
        </w:numPr>
      </w:pPr>
      <w:r>
        <w:rPr>
          <w:b w:val="0"/>
          <w:i w:val="0"/>
        </w:rPr>
        <w:t>Consult the due dates shown in Blackboard; the schedule above is not a deadline policy.</w:t>
      </w:r>
    </w:p>
    <w:p>
      <w:pPr>
        <w:pStyle w:val="ListBullet"/>
        <w:numPr>
          <w:ilvl w:val="0"/>
          <w:numId w:val="80"/>
        </w:numPr>
      </w:pPr>
      <w:r>
        <w:rPr>
          <w:b w:val="0"/>
          <w:i w:val="0"/>
        </w:rPr>
        <w:t>Keep one research-assistant domain and maintain a revision history for the same portfolio.</w:t>
      </w:r>
    </w:p>
    <w:p>
      <w:pPr>
        <w:pStyle w:val="ListBullet"/>
        <w:numPr>
          <w:ilvl w:val="0"/>
          <w:numId w:val="80"/>
        </w:numPr>
      </w:pPr>
      <w:r>
        <w:rPr>
          <w:b w:val="0"/>
          <w:i w:val="0"/>
        </w:rPr>
        <w:t>Cite sources for claims. Label measured results, scenario assumptions, and projected behavior distinctly.</w:t>
      </w:r>
    </w:p>
    <w:p>
      <w:pPr>
        <w:pStyle w:val="ListBullet"/>
        <w:numPr>
          <w:ilvl w:val="0"/>
          <w:numId w:val="80"/>
        </w:numPr>
      </w:pPr>
      <w:r>
        <w:rPr>
          <w:b w:val="0"/>
          <w:i w:val="0"/>
        </w:rPr>
        <w:t>Use public, synthetic, or appropriately authorized data. Keep credentials and private personal information out of submitted examples.</w:t>
      </w:r>
    </w:p>
    <w:p>
      <w:pPr>
        <w:pStyle w:val="ListBullet"/>
        <w:numPr>
          <w:ilvl w:val="0"/>
          <w:numId w:val="80"/>
        </w:numPr>
      </w:pPr>
      <w:r>
        <w:rPr>
          <w:b w:val="0"/>
          <w:i w:val="0"/>
        </w:rPr>
        <w:t>Retain feedback and note one change to carry into the next milestone.</w:t>
      </w:r>
    </w:p>
    <w:p>
      <w:r>
        <w:br w:type="page"/>
      </w:r>
    </w:p>
    <w:p>
      <w:pPr>
        <w:pStyle w:val="SectionBand"/>
      </w:pPr>
      <w:r>
        <w:rPr>
          <w:b w:val="0"/>
          <w:i w:val="0"/>
        </w:rPr>
        <w:t>SECTION 3 — READINGS &amp; RESOURCES</w:t>
      </w:r>
    </w:p>
    <w:p>
      <w:pPr>
        <w:pStyle w:val="Heading3"/>
      </w:pPr>
      <w:r>
        <w:rPr>
          <w:b w:val="0"/>
          <w:i w:val="0"/>
        </w:rPr>
        <w:t>3. Readings and Resources</w:t>
      </w:r>
    </w:p>
    <w:p>
      <w:pPr>
        <w:pStyle w:val="Guidance"/>
        <w:ind w:left="144" w:right="144"/>
        <w:shd w:fill="FFF4CC"/>
      </w:pPr>
      <w:r>
        <w:rPr>
          <w:b w:val="0"/>
          <w:i w:val="0"/>
        </w:rPr>
        <w:t>Course Author Guidance — Readings: Assign the primary chapter first. Keep the companion selection focused on the named topics. Optional sources extend a question, not the mandatory workload. Retain the author’s case and milestone as the anchors for assessment.</w:t>
      </w:r>
    </w:p>
    <w:p>
      <w:pPr>
        <w:pStyle w:val="Heading4"/>
      </w:pPr>
      <w:r>
        <w:rPr>
          <w:b w:val="0"/>
          <w:i w:val="0"/>
        </w:rPr>
        <w:t>Required Reading 1 — Primary Textbook</w:t>
      </w:r>
    </w:p>
    <w:p>
      <w:pPr/>
      <w:r>
        <w:rPr>
          <w:b w:val="0"/>
          <w:i w:val="0"/>
        </w:rPr>
        <w:t>Your own revised project portfolio; Chapter 15 wrap-up and its handoff to the Week 16 demo; selected earlier chapters needed to resolve inconsistencies. No new textbook chapter is assigned.</w:t>
      </w:r>
    </w:p>
    <w:p>
      <w:pPr>
        <w:pStyle w:val="Heading4"/>
      </w:pPr>
      <w:r>
        <w:rPr>
          <w:b w:val="0"/>
          <w:i w:val="0"/>
        </w:rPr>
        <w:t>Optional Companion Reading</w:t>
      </w:r>
    </w:p>
    <w:p>
      <w:pPr/>
      <w:r>
        <w:rPr>
          <w:b w:val="0"/>
          <w:i w:val="0"/>
        </w:rPr>
        <w:t xml:space="preserve">Chip Huyen. </w:t>
      </w:r>
      <w:r>
        <w:rPr>
          <w:b w:val="0"/>
          <w:i/>
        </w:rPr>
        <w:t>AI Engineering: Building Applications with Foundation Models</w:t>
      </w:r>
      <w:r>
        <w:rPr>
          <w:b w:val="0"/>
          <w:i w:val="0"/>
        </w:rPr>
        <w:t>. O’Reilly Media, 2024. ISBN 9781098166298.</w:t>
      </w:r>
    </w:p>
    <w:p>
      <w:pPr/>
      <w:r>
        <w:rPr>
          <w:b/>
          <w:i w:val="0"/>
        </w:rPr>
        <w:t>Optional: Epilogue</w:t>
      </w:r>
    </w:p>
    <w:p>
      <w:pPr/>
      <w:r>
        <w:rPr>
          <w:b w:val="0"/>
          <w:i w:val="0"/>
        </w:rPr>
        <w:t>Focus: Synthesis only; no major new reading competes with final project preparation.</w:t>
      </w:r>
    </w:p>
    <w:p>
      <w:pPr/>
      <w:r>
        <w:rPr>
          <w:b w:val="0"/>
          <w:i w:val="0"/>
        </w:rPr>
        <w:t xml:space="preserve">Read to compare how the two books frame the same engineering decision. Note one useful connection and one boundary of the companion’s coverage. No page numbers are prescribed. </w:t>
      </w:r>
      <w:hyperlink r:id="rId11">
        <w:r>
          <w:rPr>
            <w:color w:val="2F65A0"/>
            <w:u w:val="single"/>
          </w:rPr>
          <w:t>Publisher listing</w:t>
        </w:r>
      </w:hyperlink>
      <w:r>
        <w:rPr>
          <w:b w:val="0"/>
          <w:i w:val="0"/>
        </w:rPr>
        <w:t xml:space="preserve"> · </w:t>
      </w:r>
      <w:hyperlink r:id="rId12">
        <w:r>
          <w:rPr>
            <w:color w:val="2F65A0"/>
            <w:u w:val="single"/>
          </w:rPr>
          <w:t>Author’s contents</w:t>
        </w:r>
      </w:hyperlink>
      <w:r>
        <w:rPr>
          <w:b w:val="0"/>
          <w:i w:val="0"/>
        </w:rPr>
        <w:t>.</w:t>
      </w:r>
    </w:p>
    <w:p>
      <w:pPr>
        <w:pStyle w:val="Heading4"/>
      </w:pPr>
      <w:r>
        <w:rPr>
          <w:b w:val="0"/>
          <w:i w:val="0"/>
        </w:rPr>
        <w:t>Required Blackboard Item</w:t>
      </w:r>
    </w:p>
    <w:p>
      <w:pPr/>
      <w:r>
        <w:rPr>
          <w:b/>
          <w:i w:val="0"/>
        </w:rPr>
        <w:t>Week 16 Start Here: Module Overview</w:t>
      </w:r>
      <w:r>
        <w:rPr>
          <w:b w:val="0"/>
          <w:i w:val="0"/>
        </w:rPr>
        <w:t xml:space="preserve"> — a written content page in this week’s Blackboard module. Read it before beginning the assignments. It explains what to read first, how the tasks connect, what portfolio artifact you are producing, and what deserves special attention.</w:t>
      </w:r>
    </w:p>
    <w:p>
      <w:pPr>
        <w:pStyle w:val="Heading4"/>
      </w:pPr>
      <w:r>
        <w:rPr>
          <w:b w:val="0"/>
          <w:i w:val="0"/>
        </w:rPr>
        <w:t>Additional / Optional Readings</w:t>
      </w:r>
    </w:p>
    <w:p>
      <w:pPr/>
      <w:r>
        <w:rPr>
          <w:b w:val="0"/>
          <w:i w:val="0"/>
        </w:rPr>
        <w:t>Revisit the sources from your Week 8 review and any later evidence that changed a design decision. The Huyen Epilogue is optional; do not add a major new reading task this week.</w:t>
      </w:r>
    </w:p>
    <w:p>
      <w:pPr>
        <w:pStyle w:val="Heading4"/>
      </w:pPr>
      <w:r>
        <w:rPr>
          <w:b w:val="0"/>
          <w:i w:val="0"/>
        </w:rPr>
        <w:t>Reading-to-Work Notes</w:t>
      </w:r>
    </w:p>
    <w:p>
      <w:pPr/>
      <w:r>
        <w:rPr>
          <w:b w:val="0"/>
          <w:i w:val="0"/>
        </w:rPr>
        <w:t>Keep brief notes under three headings: the claim or design principle; the evidence or example supporting it; and the consequence for your assistant. These notes support your submitted work and are not a fourth assignment.</w:t>
      </w:r>
    </w:p>
    <w:p>
      <w:r>
        <w:br w:type="page"/>
      </w:r>
    </w:p>
    <w:p>
      <w:pPr>
        <w:pStyle w:val="SectionBand"/>
      </w:pPr>
      <w:r>
        <w:rPr>
          <w:b w:val="0"/>
          <w:i w:val="0"/>
        </w:rPr>
        <w:t>SECTION 4 — ASSIGNMENTS</w:t>
      </w:r>
    </w:p>
    <w:p>
      <w:pPr>
        <w:pStyle w:val="Heading3"/>
      </w:pPr>
      <w:r>
        <w:rPr>
          <w:b w:val="0"/>
          <w:i w:val="0"/>
        </w:rPr>
        <w:t>4. Week 16 Assignments</w:t>
      </w:r>
    </w:p>
    <w:p>
      <w:pPr/>
      <w:r>
        <w:rPr>
          <w:b w:val="0"/>
          <w:i w:val="0"/>
        </w:rPr>
        <w:t xml:space="preserve">The discussion develops a judgment about </w:t>
      </w:r>
      <w:r>
        <w:rPr>
          <w:b/>
          <w:i w:val="0"/>
        </w:rPr>
        <w:t>What Changed in Your Design — and Why</w:t>
      </w:r>
      <w:r>
        <w:rPr>
          <w:b w:val="0"/>
          <w:i w:val="0"/>
        </w:rPr>
        <w:t>. The applied work tests that judgment against the complete portfolio. The demonstration makes the integrated design and its limits visible.</w:t>
      </w:r>
    </w:p>
    <w:p>
      <w:pPr>
        <w:pStyle w:val="Heading3"/>
      </w:pPr>
      <w:r>
        <w:rPr>
          <w:b w:val="0"/>
          <w:i w:val="0"/>
        </w:rPr>
        <w:t>Assignment 1 — Final Reflection Discussion: What Changed in Your Design — and Why?</w:t>
      </w:r>
    </w:p>
    <w:p>
      <w:pPr>
        <w:pStyle w:val="Submission"/>
        <w:ind w:left="144" w:right="144"/>
        <w:shd w:fill="EAF3E5"/>
      </w:pPr>
      <w:r>
        <w:rPr>
          <w:b w:val="0"/>
          <w:i w:val="0"/>
        </w:rPr>
        <w:t>Type: Discussion Board. Points: 10. Submit one initial post and two peer responses in the Week 16 Discussion item. Use Blackboard’s displayed due dates.</w:t>
      </w:r>
    </w:p>
    <w:p>
      <w:pPr/>
      <w:r>
        <w:rPr>
          <w:b w:val="0"/>
          <w:i w:val="0"/>
        </w:rPr>
        <w:t xml:space="preserve">Write an initial post of approximately </w:t>
      </w:r>
      <w:r>
        <w:rPr>
          <w:b/>
          <w:i w:val="0"/>
        </w:rPr>
        <w:t>350–500 words</w:t>
      </w:r>
      <w:r>
        <w:rPr>
          <w:b w:val="0"/>
          <w:i w:val="0"/>
        </w:rPr>
        <w:t>. Make a defensible claim, compare alternatives, and use evidence from the assigned material. Connect your judgment to your research-assistant design rather than summarizing the chapter.</w:t>
      </w:r>
    </w:p>
    <w:p>
      <w:pPr>
        <w:pStyle w:val="Heading4"/>
      </w:pPr>
      <w:r>
        <w:rPr>
          <w:b w:val="0"/>
          <w:i w:val="0"/>
        </w:rPr>
        <w:t>Discussion Prompt</w:t>
      </w:r>
    </w:p>
    <w:p>
      <w:pPr/>
      <w:r>
        <w:rPr>
          <w:b/>
          <w:i w:val="0"/>
        </w:rPr>
        <w:t>Part A — Position:</w:t>
      </w:r>
      <w:r>
        <w:rPr>
          <w:b w:val="0"/>
          <w:i w:val="0"/>
        </w:rPr>
        <w:t xml:space="preserve"> Identify the most important change between your initial charter and final design. Describe the evidence or feedback that caused it.</w:t>
      </w:r>
    </w:p>
    <w:p>
      <w:pPr/>
      <w:r>
        <w:rPr>
          <w:b/>
          <w:i w:val="0"/>
        </w:rPr>
        <w:t>Part B — Comparison:</w:t>
      </w:r>
      <w:r>
        <w:rPr>
          <w:b w:val="0"/>
          <w:i w:val="0"/>
        </w:rPr>
        <w:t xml:space="preserve"> Compare an early assumption with your current position on capability, evaluation, and responsibility. Explain one trade-off you still cannot resolve.</w:t>
      </w:r>
    </w:p>
    <w:p>
      <w:pPr/>
      <w:r>
        <w:rPr>
          <w:b/>
          <w:i w:val="0"/>
        </w:rPr>
        <w:t>Part C — Judgment:</w:t>
      </w:r>
      <w:r>
        <w:rPr>
          <w:b w:val="0"/>
          <w:i w:val="0"/>
        </w:rPr>
        <w:t xml:space="preserve"> State one next investigation that would improve the design and explain what you would do differently in another project.</w:t>
      </w:r>
    </w:p>
    <w:p>
      <w:pPr>
        <w:pStyle w:val="Heading4"/>
      </w:pPr>
      <w:r>
        <w:rPr>
          <w:b w:val="0"/>
          <w:i w:val="0"/>
        </w:rPr>
        <w:t>Peer Response Guidance</w:t>
      </w:r>
    </w:p>
    <w:p>
      <w:pPr/>
      <w:r>
        <w:rPr>
          <w:b w:val="0"/>
          <w:i w:val="0"/>
        </w:rPr>
        <w:t xml:space="preserve">Reply to </w:t>
      </w:r>
      <w:r>
        <w:rPr>
          <w:b/>
          <w:i w:val="0"/>
        </w:rPr>
        <w:t>two classmates, 150–200 words each</w:t>
      </w:r>
      <w:r>
        <w:rPr>
          <w:b w:val="0"/>
          <w:i w:val="0"/>
        </w:rPr>
        <w:t>. Challenge an assumption, introduce a counterexample, identify an overlooked trade-off, ask a substantive question, or connect the design to another course concept. Agreement, praise, or summary alone is insufficient. Explain why your contribution matters to the peer’s decision.</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Conceptual application</w:t>
            </w:r>
          </w:p>
        </w:tc>
        <w:tc>
          <w:tcPr>
            <w:tcW w:type="dxa" w:w="6530"/>
            <w:vAlign w:val="top"/>
            <w:shd w:fill="EAF2FA"/>
          </w:tcPr>
          <w:p>
            <w:pPr>
              <w:pStyle w:val="TableText"/>
            </w:pPr>
            <w:r>
              <w:rPr>
                <w:b w:val="0"/>
                <w:i w:val="0"/>
              </w:rPr>
              <w:t>Applies the week’s concepts accurately to the concrete problem and compares alternatives.</w:t>
            </w:r>
          </w:p>
        </w:tc>
        <w:tc>
          <w:tcPr>
            <w:tcW w:type="dxa" w:w="1000"/>
            <w:vAlign w:val="top"/>
            <w:shd w:fill="EAF2FA"/>
          </w:tcPr>
          <w:p>
            <w:pPr>
              <w:pStyle w:val="TableText"/>
            </w:pPr>
            <w:r>
              <w:rPr>
                <w:b w:val="0"/>
                <w:i w:val="0"/>
              </w:rPr>
              <w:t>3</w:t>
            </w:r>
          </w:p>
        </w:tc>
      </w:tr>
      <w:tr>
        <w:trPr>
          <w:cantSplit/>
        </w:trPr>
        <w:tc>
          <w:tcPr>
            <w:tcW w:type="dxa" w:w="2550"/>
            <w:vAlign w:val="top"/>
            <w:shd w:fill="F5F8FB"/>
          </w:tcPr>
          <w:p>
            <w:pPr>
              <w:pStyle w:val="TableText"/>
            </w:pPr>
            <w:r>
              <w:rPr>
                <w:b w:val="0"/>
                <w:i w:val="0"/>
              </w:rPr>
              <w:t>Evidence and judgment</w:t>
            </w:r>
          </w:p>
        </w:tc>
        <w:tc>
          <w:tcPr>
            <w:tcW w:type="dxa" w:w="6530"/>
            <w:vAlign w:val="top"/>
            <w:shd w:fill="F5F8FB"/>
          </w:tcPr>
          <w:p>
            <w:pPr>
              <w:pStyle w:val="TableText"/>
            </w:pPr>
            <w:r>
              <w:rPr>
                <w:b w:val="0"/>
                <w:i w:val="0"/>
              </w:rPr>
              <w:t>Uses chapter evidence to defend a position, identifies a limitation, and explains a trade-off.</w:t>
            </w:r>
          </w:p>
        </w:tc>
        <w:tc>
          <w:tcPr>
            <w:tcW w:type="dxa" w:w="1000"/>
            <w:vAlign w:val="top"/>
            <w:shd w:fill="F5F8FB"/>
          </w:tcPr>
          <w:p>
            <w:pPr>
              <w:pStyle w:val="TableText"/>
            </w:pPr>
            <w:r>
              <w:rPr>
                <w:b w:val="0"/>
                <w:i w:val="0"/>
              </w:rPr>
              <w:t>3</w:t>
            </w:r>
          </w:p>
        </w:tc>
      </w:tr>
      <w:tr>
        <w:trPr>
          <w:cantSplit/>
        </w:trPr>
        <w:tc>
          <w:tcPr>
            <w:tcW w:type="dxa" w:w="2550"/>
            <w:vAlign w:val="top"/>
            <w:shd w:fill="EAF2FA"/>
          </w:tcPr>
          <w:p>
            <w:pPr>
              <w:pStyle w:val="TableText"/>
            </w:pPr>
            <w:r>
              <w:rPr>
                <w:b w:val="0"/>
                <w:i w:val="0"/>
              </w:rPr>
              <w:t>Project connection</w:t>
            </w:r>
          </w:p>
        </w:tc>
        <w:tc>
          <w:tcPr>
            <w:tcW w:type="dxa" w:w="6530"/>
            <w:vAlign w:val="top"/>
            <w:shd w:fill="EAF2FA"/>
          </w:tcPr>
          <w:p>
            <w:pPr>
              <w:pStyle w:val="TableText"/>
            </w:pPr>
            <w:r>
              <w:rPr>
                <w:b w:val="0"/>
                <w:i w:val="0"/>
              </w:rPr>
              <w:t>Connects the argument to the same research assistant and its users.</w:t>
            </w:r>
          </w:p>
        </w:tc>
        <w:tc>
          <w:tcPr>
            <w:tcW w:type="dxa" w:w="1000"/>
            <w:vAlign w:val="top"/>
            <w:shd w:fill="EAF2FA"/>
          </w:tcPr>
          <w:p>
            <w:pPr>
              <w:pStyle w:val="TableText"/>
            </w:pPr>
            <w:r>
              <w:rPr>
                <w:b w:val="0"/>
                <w:i w:val="0"/>
              </w:rPr>
              <w:t>2</w:t>
            </w:r>
          </w:p>
        </w:tc>
      </w:tr>
      <w:tr>
        <w:trPr>
          <w:cantSplit/>
        </w:trPr>
        <w:tc>
          <w:tcPr>
            <w:tcW w:type="dxa" w:w="2550"/>
            <w:vAlign w:val="top"/>
            <w:shd w:fill="F5F8FB"/>
          </w:tcPr>
          <w:p>
            <w:pPr>
              <w:pStyle w:val="TableText"/>
            </w:pPr>
            <w:r>
              <w:rPr>
                <w:b w:val="0"/>
                <w:i w:val="0"/>
              </w:rPr>
              <w:t>Peer engagement</w:t>
            </w:r>
          </w:p>
        </w:tc>
        <w:tc>
          <w:tcPr>
            <w:tcW w:type="dxa" w:w="6530"/>
            <w:vAlign w:val="top"/>
            <w:shd w:fill="F5F8FB"/>
          </w:tcPr>
          <w:p>
            <w:pPr>
              <w:pStyle w:val="TableText"/>
            </w:pPr>
            <w:r>
              <w:rPr>
                <w:b w:val="0"/>
                <w:i w:val="0"/>
              </w:rPr>
              <w:t>Two substantive replies meet the length guidance and advance the reasoning.</w:t>
            </w:r>
          </w:p>
        </w:tc>
        <w:tc>
          <w:tcPr>
            <w:tcW w:type="dxa" w:w="1000"/>
            <w:vAlign w:val="top"/>
            <w:shd w:fill="F5F8FB"/>
          </w:tcPr>
          <w:p>
            <w:pPr>
              <w:pStyle w:val="TableText"/>
            </w:pPr>
            <w:r>
              <w:rPr>
                <w:b w:val="0"/>
                <w:i w:val="0"/>
              </w:rPr>
              <w:t>2</w:t>
            </w:r>
          </w:p>
        </w:tc>
      </w:tr>
      <w:tr>
        <w:trPr>
          <w:cantSplit/>
        </w:trPr>
        <w:tc>
          <w:tcPr>
            <w:tcW w:type="dxa" w:w="2550"/>
            <w:vAlign w:val="top"/>
            <w:shd w:fill="EAF2FA"/>
          </w:tcPr>
          <w:p>
            <w:pPr>
              <w:pStyle w:val="TableText"/>
            </w:pPr>
            <w:r>
              <w:rPr>
                <w:b w:val="0"/>
                <w:i w:val="0"/>
              </w:rPr>
              <w:t>Total</w:t>
            </w:r>
          </w:p>
        </w:tc>
        <w:tc>
          <w:tcPr>
            <w:tcW w:type="dxa" w:w="6530"/>
            <w:vAlign w:val="top"/>
            <w:shd w:fill="EAF2FA"/>
          </w:tcPr>
          <w:p>
            <w:pPr>
              <w:pStyle w:val="TableText"/>
            </w:pPr>
          </w:p>
        </w:tc>
        <w:tc>
          <w:tcPr>
            <w:tcW w:type="dxa" w:w="1000"/>
            <w:vAlign w:val="top"/>
            <w:shd w:fill="EAF2FA"/>
          </w:tcPr>
          <w:p>
            <w:pPr>
              <w:pStyle w:val="TableText"/>
            </w:pPr>
            <w:r>
              <w:rPr>
                <w:b w:val="0"/>
                <w:i w:val="0"/>
              </w:rPr>
              <w:t>10</w:t>
            </w:r>
          </w:p>
        </w:tc>
      </w:tr>
    </w:tbl>
    <w:p>
      <w:pPr/>
      <w:r>
        <w:rPr>
          <w:b w:val="0"/>
          <w:i w:val="0"/>
        </w:rPr>
        <w:t>Cite the chapter or companion selection when it supports your reasoning. Cite outside claims to identifiable sources; an unsupported assertion does not become evidence because a model generated it.</w:t>
      </w:r>
    </w:p>
    <w:p>
      <w:r>
        <w:br w:type="page"/>
      </w:r>
    </w:p>
    <w:p>
      <w:pPr>
        <w:pStyle w:val="Heading3"/>
      </w:pPr>
      <w:r>
        <w:rPr>
          <w:b w:val="0"/>
          <w:i w:val="0"/>
        </w:rPr>
        <w:t>Assignment 2 — Integrated Project Portfolio</w:t>
      </w:r>
    </w:p>
    <w:p>
      <w:pPr>
        <w:pStyle w:val="Submission"/>
        <w:ind w:left="144" w:right="144"/>
        <w:shd w:fill="EAF3E5"/>
      </w:pPr>
      <w:r>
        <w:rPr>
          <w:b w:val="0"/>
          <w:i w:val="0"/>
        </w:rPr>
        <w:t>Type: Final integrated portfolio. Points: 20. Submit one PDF or DOCX with a contents list, all fifteen revised milestones, a concise design overview, and a revision log. Supporting artifacts may be attached separately with clear filenames.</w:t>
      </w:r>
    </w:p>
    <w:p>
      <w:pPr>
        <w:pStyle w:val="Heading4"/>
      </w:pPr>
      <w:r>
        <w:rPr>
          <w:b w:val="0"/>
          <w:i w:val="0"/>
        </w:rPr>
        <w:t>Detailed Portfolio Instructions</w:t>
      </w:r>
    </w:p>
    <w:p>
      <w:pPr/>
      <w:r>
        <w:rPr>
          <w:b w:val="0"/>
          <w:i w:val="0"/>
        </w:rPr>
        <w:t>Revise the previous work into one coherent design; do not simply concatenate fifteen untouched submissions. Include each of the following:</w:t>
      </w:r>
    </w:p>
    <w:p>
      <w:pPr>
        <w:pStyle w:val="ListNumber"/>
        <w:numPr>
          <w:ilvl w:val="0"/>
          <w:numId w:val="81"/>
        </w:numPr>
      </w:pPr>
      <w:r>
        <w:rPr>
          <w:b w:val="0"/>
          <w:i w:val="0"/>
        </w:rPr>
        <w:t>Project Charter</w:t>
      </w:r>
    </w:p>
    <w:p>
      <w:pPr>
        <w:pStyle w:val="ListNumber"/>
        <w:numPr>
          <w:ilvl w:val="0"/>
          <w:numId w:val="82"/>
        </w:numPr>
      </w:pPr>
      <w:r>
        <w:rPr>
          <w:b w:val="0"/>
          <w:i w:val="0"/>
        </w:rPr>
        <w:t>Model Selection Memo</w:t>
      </w:r>
    </w:p>
    <w:p>
      <w:pPr>
        <w:pStyle w:val="ListNumber"/>
        <w:numPr>
          <w:ilvl w:val="0"/>
          <w:numId w:val="83"/>
        </w:numPr>
      </w:pPr>
      <w:r>
        <w:rPr>
          <w:b w:val="0"/>
          <w:i w:val="0"/>
        </w:rPr>
        <w:t>Prompt Library v1</w:t>
      </w:r>
    </w:p>
    <w:p>
      <w:pPr>
        <w:pStyle w:val="ListNumber"/>
        <w:numPr>
          <w:ilvl w:val="0"/>
          <w:numId w:val="84"/>
        </w:numPr>
      </w:pPr>
      <w:r>
        <w:rPr>
          <w:b w:val="0"/>
          <w:i w:val="0"/>
        </w:rPr>
        <w:t>Integration Architecture Diagram</w:t>
      </w:r>
    </w:p>
    <w:p>
      <w:pPr>
        <w:pStyle w:val="ListNumber"/>
        <w:numPr>
          <w:ilvl w:val="0"/>
          <w:numId w:val="85"/>
        </w:numPr>
      </w:pPr>
      <w:r>
        <w:rPr>
          <w:b w:val="0"/>
          <w:i w:val="0"/>
        </w:rPr>
        <w:t>Agent Capability Plan</w:t>
      </w:r>
    </w:p>
    <w:p>
      <w:pPr>
        <w:pStyle w:val="ListNumber"/>
        <w:numPr>
          <w:ilvl w:val="0"/>
          <w:numId w:val="86"/>
        </w:numPr>
      </w:pPr>
      <w:r>
        <w:rPr>
          <w:b w:val="0"/>
          <w:i w:val="0"/>
        </w:rPr>
        <w:t>RAG Design Document</w:t>
      </w:r>
    </w:p>
    <w:p>
      <w:pPr>
        <w:pStyle w:val="ListNumber"/>
        <w:numPr>
          <w:ilvl w:val="0"/>
          <w:numId w:val="87"/>
        </w:numPr>
      </w:pPr>
      <w:r>
        <w:rPr>
          <w:b w:val="0"/>
          <w:i w:val="0"/>
        </w:rPr>
        <w:t>Customization Decision Memo</w:t>
      </w:r>
    </w:p>
    <w:p>
      <w:pPr>
        <w:pStyle w:val="ListNumber"/>
        <w:numPr>
          <w:ilvl w:val="0"/>
          <w:numId w:val="88"/>
        </w:numPr>
      </w:pPr>
      <w:r>
        <w:rPr>
          <w:b w:val="0"/>
          <w:i w:val="0"/>
        </w:rPr>
        <w:t>Literature Review &amp; Project Proposal</w:t>
      </w:r>
    </w:p>
    <w:p>
      <w:pPr>
        <w:pStyle w:val="ListNumber"/>
        <w:numPr>
          <w:ilvl w:val="0"/>
          <w:numId w:val="89"/>
        </w:numPr>
      </w:pPr>
      <w:r>
        <w:rPr>
          <w:b w:val="0"/>
          <w:i w:val="0"/>
        </w:rPr>
        <w:t>Multimodal Extension Plan</w:t>
      </w:r>
    </w:p>
    <w:p>
      <w:pPr>
        <w:pStyle w:val="ListNumber"/>
        <w:numPr>
          <w:ilvl w:val="0"/>
          <w:numId w:val="90"/>
        </w:numPr>
      </w:pPr>
      <w:r>
        <w:rPr>
          <w:b w:val="0"/>
          <w:i w:val="0"/>
        </w:rPr>
        <w:t>Evaluation Plan</w:t>
      </w:r>
    </w:p>
    <w:p>
      <w:pPr>
        <w:pStyle w:val="ListNumber"/>
        <w:numPr>
          <w:ilvl w:val="0"/>
          <w:numId w:val="91"/>
        </w:numPr>
      </w:pPr>
      <w:r>
        <w:rPr>
          <w:b w:val="0"/>
          <w:i w:val="0"/>
        </w:rPr>
        <w:t>Optimization Plan</w:t>
      </w:r>
    </w:p>
    <w:p>
      <w:pPr>
        <w:pStyle w:val="ListNumber"/>
        <w:numPr>
          <w:ilvl w:val="0"/>
          <w:numId w:val="92"/>
        </w:numPr>
      </w:pPr>
      <w:r>
        <w:rPr>
          <w:b w:val="0"/>
          <w:i w:val="0"/>
        </w:rPr>
        <w:t>Red-Team Review</w:t>
      </w:r>
    </w:p>
    <w:p>
      <w:pPr>
        <w:pStyle w:val="ListNumber"/>
        <w:numPr>
          <w:ilvl w:val="0"/>
          <w:numId w:val="93"/>
        </w:numPr>
      </w:pPr>
      <w:r>
        <w:rPr>
          <w:b w:val="0"/>
          <w:i w:val="0"/>
        </w:rPr>
        <w:t>Ethics &amp; Fairness Review</w:t>
      </w:r>
    </w:p>
    <w:p>
      <w:pPr>
        <w:pStyle w:val="ListNumber"/>
        <w:numPr>
          <w:ilvl w:val="0"/>
          <w:numId w:val="94"/>
        </w:numPr>
      </w:pPr>
      <w:r>
        <w:rPr>
          <w:b w:val="0"/>
          <w:i w:val="0"/>
        </w:rPr>
        <w:t>Compliance Checklist</w:t>
      </w:r>
    </w:p>
    <w:p>
      <w:pPr>
        <w:pStyle w:val="ListNumber"/>
        <w:numPr>
          <w:ilvl w:val="0"/>
          <w:numId w:val="95"/>
        </w:numPr>
      </w:pPr>
      <w:r>
        <w:rPr>
          <w:b w:val="0"/>
          <w:i w:val="0"/>
        </w:rPr>
        <w:t>Deployment Plan &amp; Forward Look</w:t>
      </w:r>
    </w:p>
    <w:p>
      <w:pPr/>
      <w:r>
        <w:rPr>
          <w:b w:val="0"/>
          <w:i w:val="0"/>
        </w:rPr>
        <w:t>Reconcile the same target user, scope, data boundaries, model strategy, autonomy limits, and success definition throughout. Explain material changes since the first submission and why they occurred. Cross-reference the evaluation plan, red-team findings, ethics review, and compliance checklist in the deployment decision. Retain uncertainty and limitations instead of removing them to make the portfolio look finished. No new implementation is mandatory.</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Complete portfolio</w:t>
            </w:r>
          </w:p>
        </w:tc>
        <w:tc>
          <w:tcPr>
            <w:tcW w:type="dxa" w:w="6530"/>
            <w:vAlign w:val="top"/>
            <w:shd w:fill="EAF2FA"/>
          </w:tcPr>
          <w:p>
            <w:pPr>
              <w:pStyle w:val="TableText"/>
            </w:pPr>
            <w:r>
              <w:rPr>
                <w:b w:val="0"/>
                <w:i w:val="0"/>
              </w:rPr>
              <w:t>Includes all fifteen milestone artifacts with a usable contents list.</w:t>
            </w:r>
          </w:p>
        </w:tc>
        <w:tc>
          <w:tcPr>
            <w:tcW w:type="dxa" w:w="1000"/>
            <w:vAlign w:val="top"/>
            <w:shd w:fill="EAF2FA"/>
          </w:tcPr>
          <w:p>
            <w:pPr>
              <w:pStyle w:val="TableText"/>
            </w:pPr>
            <w:r>
              <w:rPr>
                <w:b w:val="0"/>
                <w:i w:val="0"/>
              </w:rPr>
              <w:t>4</w:t>
            </w:r>
          </w:p>
        </w:tc>
      </w:tr>
      <w:tr>
        <w:trPr>
          <w:cantSplit/>
        </w:trPr>
        <w:tc>
          <w:tcPr>
            <w:tcW w:type="dxa" w:w="2550"/>
            <w:vAlign w:val="top"/>
            <w:shd w:fill="F5F8FB"/>
          </w:tcPr>
          <w:p>
            <w:pPr>
              <w:pStyle w:val="TableText"/>
            </w:pPr>
            <w:r>
              <w:rPr>
                <w:b w:val="0"/>
                <w:i w:val="0"/>
              </w:rPr>
              <w:t>Integration and consistency</w:t>
            </w:r>
          </w:p>
        </w:tc>
        <w:tc>
          <w:tcPr>
            <w:tcW w:type="dxa" w:w="6530"/>
            <w:vAlign w:val="top"/>
            <w:shd w:fill="F5F8FB"/>
          </w:tcPr>
          <w:p>
            <w:pPr>
              <w:pStyle w:val="TableText"/>
            </w:pPr>
            <w:r>
              <w:rPr>
                <w:b w:val="0"/>
                <w:i w:val="0"/>
              </w:rPr>
              <w:t>Resolves contradictions in users, architecture, model, data, evaluation, and deployment decisions.</w:t>
            </w:r>
          </w:p>
        </w:tc>
        <w:tc>
          <w:tcPr>
            <w:tcW w:type="dxa" w:w="1000"/>
            <w:vAlign w:val="top"/>
            <w:shd w:fill="F5F8FB"/>
          </w:tcPr>
          <w:p>
            <w:pPr>
              <w:pStyle w:val="TableText"/>
            </w:pPr>
            <w:r>
              <w:rPr>
                <w:b w:val="0"/>
                <w:i w:val="0"/>
              </w:rPr>
              <w:t>6</w:t>
            </w:r>
          </w:p>
        </w:tc>
      </w:tr>
      <w:tr>
        <w:trPr>
          <w:cantSplit/>
        </w:trPr>
        <w:tc>
          <w:tcPr>
            <w:tcW w:type="dxa" w:w="2550"/>
            <w:vAlign w:val="top"/>
            <w:shd w:fill="EAF2FA"/>
          </w:tcPr>
          <w:p>
            <w:pPr>
              <w:pStyle w:val="TableText"/>
            </w:pPr>
            <w:r>
              <w:rPr>
                <w:b w:val="0"/>
                <w:i w:val="0"/>
              </w:rPr>
              <w:t>Evidence and evaluation</w:t>
            </w:r>
          </w:p>
        </w:tc>
        <w:tc>
          <w:tcPr>
            <w:tcW w:type="dxa" w:w="6530"/>
            <w:vAlign w:val="top"/>
            <w:shd w:fill="EAF2FA"/>
          </w:tcPr>
          <w:p>
            <w:pPr>
              <w:pStyle w:val="TableText"/>
            </w:pPr>
            <w:r>
              <w:rPr>
                <w:b w:val="0"/>
                <w:i w:val="0"/>
              </w:rPr>
              <w:t>Uses research, test plans, and honestly labeled results to defend key choices.</w:t>
            </w:r>
          </w:p>
        </w:tc>
        <w:tc>
          <w:tcPr>
            <w:tcW w:type="dxa" w:w="1000"/>
            <w:vAlign w:val="top"/>
            <w:shd w:fill="EAF2FA"/>
          </w:tcPr>
          <w:p>
            <w:pPr>
              <w:pStyle w:val="TableText"/>
            </w:pPr>
            <w:r>
              <w:rPr>
                <w:b w:val="0"/>
                <w:i w:val="0"/>
              </w:rPr>
              <w:t>4</w:t>
            </w:r>
          </w:p>
        </w:tc>
      </w:tr>
      <w:tr>
        <w:trPr>
          <w:cantSplit/>
        </w:trPr>
        <w:tc>
          <w:tcPr>
            <w:tcW w:type="dxa" w:w="2550"/>
            <w:vAlign w:val="top"/>
            <w:shd w:fill="F5F8FB"/>
          </w:tcPr>
          <w:p>
            <w:pPr>
              <w:pStyle w:val="TableText"/>
            </w:pPr>
            <w:r>
              <w:rPr>
                <w:b w:val="0"/>
                <w:i w:val="0"/>
              </w:rPr>
              <w:t>Responsibility and limitations</w:t>
            </w:r>
          </w:p>
        </w:tc>
        <w:tc>
          <w:tcPr>
            <w:tcW w:type="dxa" w:w="6530"/>
            <w:vAlign w:val="top"/>
            <w:shd w:fill="F5F8FB"/>
          </w:tcPr>
          <w:p>
            <w:pPr>
              <w:pStyle w:val="TableText"/>
            </w:pPr>
            <w:r>
              <w:rPr>
                <w:b w:val="0"/>
                <w:i w:val="0"/>
              </w:rPr>
              <w:t>Integrates safety, ethics, privacy, legal/governance issues, and unresolved risks.</w:t>
            </w:r>
          </w:p>
        </w:tc>
        <w:tc>
          <w:tcPr>
            <w:tcW w:type="dxa" w:w="1000"/>
            <w:vAlign w:val="top"/>
            <w:shd w:fill="F5F8FB"/>
          </w:tcPr>
          <w:p>
            <w:pPr>
              <w:pStyle w:val="TableText"/>
            </w:pPr>
            <w:r>
              <w:rPr>
                <w:b w:val="0"/>
                <w:i w:val="0"/>
              </w:rPr>
              <w:t>4</w:t>
            </w:r>
          </w:p>
        </w:tc>
      </w:tr>
      <w:tr>
        <w:trPr>
          <w:cantSplit/>
        </w:trPr>
        <w:tc>
          <w:tcPr>
            <w:tcW w:type="dxa" w:w="2550"/>
            <w:vAlign w:val="top"/>
            <w:shd w:fill="EAF2FA"/>
          </w:tcPr>
          <w:p>
            <w:pPr>
              <w:pStyle w:val="TableText"/>
            </w:pPr>
            <w:r>
              <w:rPr>
                <w:b w:val="0"/>
                <w:i w:val="0"/>
              </w:rPr>
              <w:t>Revision traceability</w:t>
            </w:r>
          </w:p>
        </w:tc>
        <w:tc>
          <w:tcPr>
            <w:tcW w:type="dxa" w:w="6530"/>
            <w:vAlign w:val="top"/>
            <w:shd w:fill="EAF2FA"/>
          </w:tcPr>
          <w:p>
            <w:pPr>
              <w:pStyle w:val="TableText"/>
            </w:pPr>
            <w:r>
              <w:rPr>
                <w:b w:val="0"/>
                <w:i w:val="0"/>
              </w:rPr>
              <w:t>Documents significant revisions and gives precise source/artifact references.</w:t>
            </w:r>
          </w:p>
        </w:tc>
        <w:tc>
          <w:tcPr>
            <w:tcW w:type="dxa" w:w="1000"/>
            <w:vAlign w:val="top"/>
            <w:shd w:fill="EAF2FA"/>
          </w:tcPr>
          <w:p>
            <w:pPr>
              <w:pStyle w:val="TableText"/>
            </w:pPr>
            <w:r>
              <w:rPr>
                <w:b w:val="0"/>
                <w:i w:val="0"/>
              </w:rPr>
              <w:t>2</w:t>
            </w:r>
          </w:p>
        </w:tc>
      </w:tr>
      <w:tr>
        <w:trPr>
          <w:cantSplit/>
        </w:trPr>
        <w:tc>
          <w:tcPr>
            <w:tcW w:type="dxa" w:w="2550"/>
            <w:vAlign w:val="top"/>
            <w:shd w:fill="F5F8FB"/>
          </w:tcPr>
          <w:p>
            <w:pPr>
              <w:pStyle w:val="TableText"/>
            </w:pPr>
            <w:r>
              <w:rPr>
                <w:b w:val="0"/>
                <w:i w:val="0"/>
              </w:rPr>
              <w:t>Total</w:t>
            </w:r>
          </w:p>
        </w:tc>
        <w:tc>
          <w:tcPr>
            <w:tcW w:type="dxa" w:w="6530"/>
            <w:vAlign w:val="top"/>
            <w:shd w:fill="F5F8FB"/>
          </w:tcPr>
          <w:p>
            <w:pPr>
              <w:pStyle w:val="TableText"/>
            </w:pPr>
          </w:p>
        </w:tc>
        <w:tc>
          <w:tcPr>
            <w:tcW w:type="dxa" w:w="1000"/>
            <w:vAlign w:val="top"/>
            <w:shd w:fill="F5F8FB"/>
          </w:tcPr>
          <w:p>
            <w:pPr>
              <w:pStyle w:val="TableText"/>
            </w:pPr>
            <w:r>
              <w:rPr>
                <w:b w:val="0"/>
                <w:i w:val="0"/>
              </w:rPr>
              <w:t>20</w:t>
            </w:r>
          </w:p>
        </w:tc>
      </w:tr>
    </w:tbl>
    <w:p>
      <w:r>
        <w:br w:type="page"/>
      </w:r>
    </w:p>
    <w:p>
      <w:pPr>
        <w:pStyle w:val="Heading3"/>
      </w:pPr>
      <w:r>
        <w:rPr>
          <w:b w:val="0"/>
          <w:i w:val="0"/>
        </w:rPr>
        <w:t>Assignment 3 — Final Project Demonstration / Presentation</w:t>
      </w:r>
    </w:p>
    <w:p>
      <w:pPr>
        <w:pStyle w:val="Submission"/>
        <w:ind w:left="144" w:right="144"/>
        <w:shd w:fill="EAF3E5"/>
      </w:pPr>
      <w:r>
        <w:rPr>
          <w:b w:val="0"/>
          <w:i w:val="0"/>
        </w:rPr>
        <w:t>Type: Design demonstration and defense. Points: 20. Prepare a 10–15 minute presentation with slides or a storyboard and submit those materials through the Week 16 demonstration item. Use the instructor’s designated presentation session or text-based slide-and-notes walkthrough. A recording is not required.</w:t>
      </w:r>
    </w:p>
    <w:p>
      <w:pPr>
        <w:pStyle w:val="Heading4"/>
      </w:pPr>
      <w:r>
        <w:rPr>
          <w:b w:val="0"/>
          <w:i w:val="0"/>
        </w:rPr>
        <w:t>Detailed Demonstration Instructions</w:t>
      </w:r>
    </w:p>
    <w:p>
      <w:pPr/>
      <w:r>
        <w:rPr>
          <w:b w:val="0"/>
          <w:i w:val="0"/>
        </w:rPr>
        <w:t>Explain and defend your system design. A live prototype is optional. A storyboarded walkthrough should show a realistic request, how information and decisions move through the system, the expected response, and a failure or escalation path.</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1800"/>
        <w:gridCol w:w="6880"/>
        <w:gridCol w:w="1400"/>
      </w:tblGrid>
      <w:tr>
        <w:trPr>
          <w:cantSplit/>
          <w:tblHeader/>
        </w:trPr>
        <w:tc>
          <w:tcPr>
            <w:tcW w:type="dxa" w:w="1800"/>
            <w:vAlign w:val="top"/>
            <w:shd w:fill="203864"/>
          </w:tcPr>
          <w:p>
            <w:pPr>
              <w:pStyle w:val="TableText"/>
            </w:pPr>
            <w:r>
              <w:rPr>
                <w:b/>
                <w:i w:val="0"/>
                <w:color w:val="FFFFFF"/>
              </w:rPr>
              <w:t>Segment</w:t>
            </w:r>
          </w:p>
        </w:tc>
        <w:tc>
          <w:tcPr>
            <w:tcW w:type="dxa" w:w="6880"/>
            <w:vAlign w:val="top"/>
            <w:shd w:fill="203864"/>
          </w:tcPr>
          <w:p>
            <w:pPr>
              <w:pStyle w:val="TableText"/>
            </w:pPr>
            <w:r>
              <w:rPr>
                <w:b/>
                <w:i w:val="0"/>
                <w:color w:val="FFFFFF"/>
              </w:rPr>
              <w:t>What to explain</w:t>
            </w:r>
          </w:p>
        </w:tc>
        <w:tc>
          <w:tcPr>
            <w:tcW w:type="dxa" w:w="1400"/>
            <w:vAlign w:val="top"/>
            <w:shd w:fill="203864"/>
          </w:tcPr>
          <w:p>
            <w:pPr>
              <w:pStyle w:val="TableText"/>
            </w:pPr>
            <w:r>
              <w:rPr>
                <w:b/>
                <w:i w:val="0"/>
                <w:color w:val="FFFFFF"/>
              </w:rPr>
              <w:t>Suggested time</w:t>
            </w:r>
          </w:p>
        </w:tc>
      </w:tr>
      <w:tr>
        <w:trPr>
          <w:cantSplit/>
        </w:trPr>
        <w:tc>
          <w:tcPr>
            <w:tcW w:type="dxa" w:w="1800"/>
            <w:vAlign w:val="top"/>
            <w:shd w:fill="EAF2FA"/>
          </w:tcPr>
          <w:p>
            <w:pPr>
              <w:pStyle w:val="TableText"/>
            </w:pPr>
            <w:r>
              <w:rPr>
                <w:b w:val="0"/>
                <w:i w:val="0"/>
              </w:rPr>
              <w:t>Problem and user</w:t>
            </w:r>
          </w:p>
        </w:tc>
        <w:tc>
          <w:tcPr>
            <w:tcW w:type="dxa" w:w="6880"/>
            <w:vAlign w:val="top"/>
            <w:shd w:fill="EAF2FA"/>
          </w:tcPr>
          <w:p>
            <w:pPr>
              <w:pStyle w:val="TableText"/>
            </w:pPr>
            <w:r>
              <w:rPr>
                <w:b w:val="0"/>
                <w:i w:val="0"/>
              </w:rPr>
              <w:t>Why generative AI; the user and success definition.</w:t>
            </w:r>
          </w:p>
        </w:tc>
        <w:tc>
          <w:tcPr>
            <w:tcW w:type="dxa" w:w="1400"/>
            <w:vAlign w:val="top"/>
            <w:shd w:fill="EAF2FA"/>
          </w:tcPr>
          <w:p>
            <w:pPr>
              <w:pStyle w:val="TableText"/>
            </w:pPr>
            <w:r>
              <w:rPr>
                <w:b w:val="0"/>
                <w:i w:val="0"/>
              </w:rPr>
              <w:t>2 min</w:t>
            </w:r>
          </w:p>
        </w:tc>
      </w:tr>
      <w:tr>
        <w:trPr>
          <w:cantSplit/>
        </w:trPr>
        <w:tc>
          <w:tcPr>
            <w:tcW w:type="dxa" w:w="1800"/>
            <w:vAlign w:val="top"/>
            <w:shd w:fill="F5F8FB"/>
          </w:tcPr>
          <w:p>
            <w:pPr>
              <w:pStyle w:val="TableText"/>
            </w:pPr>
            <w:r>
              <w:rPr>
                <w:b w:val="0"/>
                <w:i w:val="0"/>
              </w:rPr>
              <w:t>System design</w:t>
            </w:r>
          </w:p>
        </w:tc>
        <w:tc>
          <w:tcPr>
            <w:tcW w:type="dxa" w:w="6880"/>
            <w:vAlign w:val="top"/>
            <w:shd w:fill="F5F8FB"/>
          </w:tcPr>
          <w:p>
            <w:pPr>
              <w:pStyle w:val="TableText"/>
            </w:pPr>
            <w:r>
              <w:rPr>
                <w:b w:val="0"/>
                <w:i w:val="0"/>
              </w:rPr>
              <w:t>Architecture; model choice; prompt strategy; RAG/knowledge; agent capability if applicable; fine-tuning decision.</w:t>
            </w:r>
          </w:p>
        </w:tc>
        <w:tc>
          <w:tcPr>
            <w:tcW w:type="dxa" w:w="1400"/>
            <w:vAlign w:val="top"/>
            <w:shd w:fill="F5F8FB"/>
          </w:tcPr>
          <w:p>
            <w:pPr>
              <w:pStyle w:val="TableText"/>
            </w:pPr>
            <w:r>
              <w:rPr>
                <w:b w:val="0"/>
                <w:i w:val="0"/>
              </w:rPr>
              <w:t>4 min</w:t>
            </w:r>
          </w:p>
        </w:tc>
      </w:tr>
      <w:tr>
        <w:trPr>
          <w:cantSplit/>
        </w:trPr>
        <w:tc>
          <w:tcPr>
            <w:tcW w:type="dxa" w:w="1800"/>
            <w:vAlign w:val="top"/>
            <w:shd w:fill="EAF2FA"/>
          </w:tcPr>
          <w:p>
            <w:pPr>
              <w:pStyle w:val="TableText"/>
            </w:pPr>
            <w:r>
              <w:rPr>
                <w:b w:val="0"/>
                <w:i w:val="0"/>
              </w:rPr>
              <w:t>Evidence and responsibility</w:t>
            </w:r>
          </w:p>
        </w:tc>
        <w:tc>
          <w:tcPr>
            <w:tcW w:type="dxa" w:w="6880"/>
            <w:vAlign w:val="top"/>
            <w:shd w:fill="EAF2FA"/>
          </w:tcPr>
          <w:p>
            <w:pPr>
              <w:pStyle w:val="TableText"/>
            </w:pPr>
            <w:r>
              <w:rPr>
                <w:b w:val="0"/>
                <w:i w:val="0"/>
              </w:rPr>
              <w:t>Evaluation; safety/red-team findings; ethics/fairness; legal/governance issues; deployment plan.</w:t>
            </w:r>
          </w:p>
        </w:tc>
        <w:tc>
          <w:tcPr>
            <w:tcW w:type="dxa" w:w="1400"/>
            <w:vAlign w:val="top"/>
            <w:shd w:fill="EAF2FA"/>
          </w:tcPr>
          <w:p>
            <w:pPr>
              <w:pStyle w:val="TableText"/>
            </w:pPr>
            <w:r>
              <w:rPr>
                <w:b w:val="0"/>
                <w:i w:val="0"/>
              </w:rPr>
              <w:t>4 min</w:t>
            </w:r>
          </w:p>
        </w:tc>
      </w:tr>
      <w:tr>
        <w:trPr>
          <w:cantSplit/>
        </w:trPr>
        <w:tc>
          <w:tcPr>
            <w:tcW w:type="dxa" w:w="1800"/>
            <w:vAlign w:val="top"/>
            <w:shd w:fill="F5F8FB"/>
          </w:tcPr>
          <w:p>
            <w:pPr>
              <w:pStyle w:val="TableText"/>
            </w:pPr>
            <w:r>
              <w:rPr>
                <w:b w:val="0"/>
                <w:i w:val="0"/>
              </w:rPr>
              <w:t>Synthesis and defense</w:t>
            </w:r>
          </w:p>
        </w:tc>
        <w:tc>
          <w:tcPr>
            <w:tcW w:type="dxa" w:w="6880"/>
            <w:vAlign w:val="top"/>
            <w:shd w:fill="F5F8FB"/>
          </w:tcPr>
          <w:p>
            <w:pPr>
              <w:pStyle w:val="TableText"/>
            </w:pPr>
            <w:r>
              <w:rPr>
                <w:b w:val="0"/>
                <w:i w:val="0"/>
              </w:rPr>
              <w:t>Most important design change; remaining uncertainty; questions and trade-offs.</w:t>
            </w:r>
          </w:p>
        </w:tc>
        <w:tc>
          <w:tcPr>
            <w:tcW w:type="dxa" w:w="1400"/>
            <w:vAlign w:val="top"/>
            <w:shd w:fill="F5F8FB"/>
          </w:tcPr>
          <w:p>
            <w:pPr>
              <w:pStyle w:val="TableText"/>
            </w:pPr>
            <w:r>
              <w:rPr>
                <w:b w:val="0"/>
                <w:i w:val="0"/>
              </w:rPr>
              <w:t>2–5 min</w:t>
            </w:r>
          </w:p>
        </w:tc>
      </w:tr>
    </w:tbl>
    <w:p>
      <w:pPr/>
      <w:r>
        <w:rPr>
          <w:b w:val="0"/>
          <w:i w:val="0"/>
        </w:rPr>
        <w:t>Use evidence from your portfolio, including evidence that complicated your original plan. Make clear which behavior was observed and which is projected. For a text-based walkthrough, include speaker notes paced for the same 10–15 minute presentation and a short anticipated-questions section. Do not claim production readiness solely because a demo works.</w:t>
      </w:r>
    </w:p>
    <w:p>
      <w:pPr>
        <w:pStyle w:val="Heading4"/>
      </w:pPr>
      <w:r>
        <w:rPr>
          <w:b w:val="0"/>
          <w:i w:val="0"/>
        </w:rPr>
        <w:t>What Makes a Strong Final Demonstration</w:t>
      </w:r>
    </w:p>
    <w:p>
      <w:pPr/>
      <w:r>
        <w:rPr>
          <w:b w:val="0"/>
          <w:i w:val="0"/>
        </w:rPr>
        <w:t>The audience should be able to follow the same problem through every decision. Show how a design limitation affects a user, what would trigger human review, and what further evidence would be needed before deployment. Defend a bounded design instead of promising that every frontier capability belongs in the assistant.</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Problem and architectural coherence</w:t>
            </w:r>
          </w:p>
        </w:tc>
        <w:tc>
          <w:tcPr>
            <w:tcW w:type="dxa" w:w="6530"/>
            <w:vAlign w:val="top"/>
            <w:shd w:fill="EAF2FA"/>
          </w:tcPr>
          <w:p>
            <w:pPr>
              <w:pStyle w:val="TableText"/>
            </w:pPr>
            <w:r>
              <w:rPr>
                <w:b w:val="0"/>
                <w:i w:val="0"/>
              </w:rPr>
              <w:t>Explains the user, need for generation, and connected system architecture.</w:t>
            </w:r>
          </w:p>
        </w:tc>
        <w:tc>
          <w:tcPr>
            <w:tcW w:type="dxa" w:w="1000"/>
            <w:vAlign w:val="top"/>
            <w:shd w:fill="EAF2FA"/>
          </w:tcPr>
          <w:p>
            <w:pPr>
              <w:pStyle w:val="TableText"/>
            </w:pPr>
            <w:r>
              <w:rPr>
                <w:b w:val="0"/>
                <w:i w:val="0"/>
              </w:rPr>
              <w:t>5</w:t>
            </w:r>
          </w:p>
        </w:tc>
      </w:tr>
      <w:tr>
        <w:trPr>
          <w:cantSplit/>
        </w:trPr>
        <w:tc>
          <w:tcPr>
            <w:tcW w:type="dxa" w:w="2550"/>
            <w:vAlign w:val="top"/>
            <w:shd w:fill="F5F8FB"/>
          </w:tcPr>
          <w:p>
            <w:pPr>
              <w:pStyle w:val="TableText"/>
            </w:pPr>
            <w:r>
              <w:rPr>
                <w:b w:val="0"/>
                <w:i w:val="0"/>
              </w:rPr>
              <w:t>Technical decisions and evidence</w:t>
            </w:r>
          </w:p>
        </w:tc>
        <w:tc>
          <w:tcPr>
            <w:tcW w:type="dxa" w:w="6530"/>
            <w:vAlign w:val="top"/>
            <w:shd w:fill="F5F8FB"/>
          </w:tcPr>
          <w:p>
            <w:pPr>
              <w:pStyle w:val="TableText"/>
            </w:pPr>
            <w:r>
              <w:rPr>
                <w:b w:val="0"/>
                <w:i w:val="0"/>
              </w:rPr>
              <w:t>Defends model, prompts, retrieval, autonomy, and customization choices with evidence.</w:t>
            </w:r>
          </w:p>
        </w:tc>
        <w:tc>
          <w:tcPr>
            <w:tcW w:type="dxa" w:w="1000"/>
            <w:vAlign w:val="top"/>
            <w:shd w:fill="F5F8FB"/>
          </w:tcPr>
          <w:p>
            <w:pPr>
              <w:pStyle w:val="TableText"/>
            </w:pPr>
            <w:r>
              <w:rPr>
                <w:b w:val="0"/>
                <w:i w:val="0"/>
              </w:rPr>
              <w:t>5</w:t>
            </w:r>
          </w:p>
        </w:tc>
      </w:tr>
      <w:tr>
        <w:trPr>
          <w:cantSplit/>
        </w:trPr>
        <w:tc>
          <w:tcPr>
            <w:tcW w:type="dxa" w:w="2550"/>
            <w:vAlign w:val="top"/>
            <w:shd w:fill="EAF2FA"/>
          </w:tcPr>
          <w:p>
            <w:pPr>
              <w:pStyle w:val="TableText"/>
            </w:pPr>
            <w:r>
              <w:rPr>
                <w:b w:val="0"/>
                <w:i w:val="0"/>
              </w:rPr>
              <w:t>Evaluation and responsibility</w:t>
            </w:r>
          </w:p>
        </w:tc>
        <w:tc>
          <w:tcPr>
            <w:tcW w:type="dxa" w:w="6530"/>
            <w:vAlign w:val="top"/>
            <w:shd w:fill="EAF2FA"/>
          </w:tcPr>
          <w:p>
            <w:pPr>
              <w:pStyle w:val="TableText"/>
            </w:pPr>
            <w:r>
              <w:rPr>
                <w:b w:val="0"/>
                <w:i w:val="0"/>
              </w:rPr>
              <w:t>Explains evaluation, red-team findings, ethics, governance, and deployment limits.</w:t>
            </w:r>
          </w:p>
        </w:tc>
        <w:tc>
          <w:tcPr>
            <w:tcW w:type="dxa" w:w="1000"/>
            <w:vAlign w:val="top"/>
            <w:shd w:fill="EAF2FA"/>
          </w:tcPr>
          <w:p>
            <w:pPr>
              <w:pStyle w:val="TableText"/>
            </w:pPr>
            <w:r>
              <w:rPr>
                <w:b w:val="0"/>
                <w:i w:val="0"/>
              </w:rPr>
              <w:t>5</w:t>
            </w:r>
          </w:p>
        </w:tc>
      </w:tr>
      <w:tr>
        <w:trPr>
          <w:cantSplit/>
        </w:trPr>
        <w:tc>
          <w:tcPr>
            <w:tcW w:type="dxa" w:w="2550"/>
            <w:vAlign w:val="top"/>
            <w:shd w:fill="F5F8FB"/>
          </w:tcPr>
          <w:p>
            <w:pPr>
              <w:pStyle w:val="TableText"/>
            </w:pPr>
            <w:r>
              <w:rPr>
                <w:b w:val="0"/>
                <w:i w:val="0"/>
              </w:rPr>
              <w:t>Synthesis and communication</w:t>
            </w:r>
          </w:p>
        </w:tc>
        <w:tc>
          <w:tcPr>
            <w:tcW w:type="dxa" w:w="6530"/>
            <w:vAlign w:val="top"/>
            <w:shd w:fill="F5F8FB"/>
          </w:tcPr>
          <w:p>
            <w:pPr>
              <w:pStyle w:val="TableText"/>
            </w:pPr>
            <w:r>
              <w:rPr>
                <w:b w:val="0"/>
                <w:i w:val="0"/>
              </w:rPr>
              <w:t>Provides a clear walkthrough, explains the major design change, and responds thoughtfully to questions.</w:t>
            </w:r>
          </w:p>
        </w:tc>
        <w:tc>
          <w:tcPr>
            <w:tcW w:type="dxa" w:w="1000"/>
            <w:vAlign w:val="top"/>
            <w:shd w:fill="F5F8FB"/>
          </w:tcPr>
          <w:p>
            <w:pPr>
              <w:pStyle w:val="TableText"/>
            </w:pPr>
            <w:r>
              <w:rPr>
                <w:b w:val="0"/>
                <w:i w:val="0"/>
              </w:rPr>
              <w:t>5</w:t>
            </w:r>
          </w:p>
        </w:tc>
      </w:tr>
      <w:tr>
        <w:trPr>
          <w:cantSplit/>
        </w:trPr>
        <w:tc>
          <w:tcPr>
            <w:tcW w:type="dxa" w:w="2550"/>
            <w:vAlign w:val="top"/>
            <w:shd w:fill="EAF2FA"/>
          </w:tcPr>
          <w:p>
            <w:pPr>
              <w:pStyle w:val="TableText"/>
            </w:pPr>
            <w:r>
              <w:rPr>
                <w:b w:val="0"/>
                <w:i w:val="0"/>
              </w:rPr>
              <w:t>Total</w:t>
            </w:r>
          </w:p>
        </w:tc>
        <w:tc>
          <w:tcPr>
            <w:tcW w:type="dxa" w:w="6530"/>
            <w:vAlign w:val="top"/>
            <w:shd w:fill="EAF2FA"/>
          </w:tcPr>
          <w:p>
            <w:pPr>
              <w:pStyle w:val="TableText"/>
            </w:pPr>
          </w:p>
        </w:tc>
        <w:tc>
          <w:tcPr>
            <w:tcW w:type="dxa" w:w="1000"/>
            <w:vAlign w:val="top"/>
            <w:shd w:fill="EAF2FA"/>
          </w:tcPr>
          <w:p>
            <w:pPr>
              <w:pStyle w:val="TableText"/>
            </w:pPr>
            <w:r>
              <w:rPr>
                <w:b w:val="0"/>
                <w:i w:val="0"/>
              </w:rPr>
              <w:t>20</w:t>
            </w:r>
          </w:p>
        </w:tc>
      </w:tr>
    </w:tbl>
    <w:p>
      <w:r>
        <w:br w:type="page"/>
      </w:r>
    </w:p>
    <w:p>
      <w:pPr>
        <w:pStyle w:val="Heading3"/>
      </w:pPr>
      <w:r>
        <w:rPr>
          <w:b w:val="0"/>
          <w:i w:val="0"/>
        </w:rPr>
        <w:t>Week 16 Assignment Summary</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4450"/>
        <w:gridCol w:w="2900"/>
        <w:gridCol w:w="1730"/>
        <w:gridCol w:w="1000"/>
      </w:tblGrid>
      <w:tr>
        <w:trPr>
          <w:cantSplit/>
          <w:tblHeader/>
        </w:trPr>
        <w:tc>
          <w:tcPr>
            <w:tcW w:type="dxa" w:w="4450"/>
            <w:vAlign w:val="top"/>
            <w:shd w:fill="203864"/>
          </w:tcPr>
          <w:p>
            <w:pPr>
              <w:pStyle w:val="TableText"/>
            </w:pPr>
            <w:r>
              <w:rPr>
                <w:b/>
                <w:i w:val="0"/>
                <w:color w:val="FFFFFF"/>
              </w:rPr>
              <w:t>Assignment</w:t>
            </w:r>
          </w:p>
        </w:tc>
        <w:tc>
          <w:tcPr>
            <w:tcW w:type="dxa" w:w="2900"/>
            <w:vAlign w:val="top"/>
            <w:shd w:fill="203864"/>
          </w:tcPr>
          <w:p>
            <w:pPr>
              <w:pStyle w:val="TableText"/>
            </w:pPr>
            <w:r>
              <w:rPr>
                <w:b/>
                <w:i w:val="0"/>
                <w:color w:val="FFFFFF"/>
              </w:rPr>
              <w:t>Submission</w:t>
            </w:r>
          </w:p>
        </w:tc>
        <w:tc>
          <w:tcPr>
            <w:tcW w:type="dxa" w:w="1730"/>
            <w:vAlign w:val="top"/>
            <w:shd w:fill="203864"/>
          </w:tcPr>
          <w:p>
            <w:pPr>
              <w:pStyle w:val="TableText"/>
            </w:pPr>
            <w:r>
              <w:rPr>
                <w:b/>
                <w:i w:val="0"/>
                <w:color w:val="FFFFFF"/>
              </w:rPr>
              <w:t>Due</w:t>
            </w:r>
          </w:p>
        </w:tc>
        <w:tc>
          <w:tcPr>
            <w:tcW w:type="dxa" w:w="1000"/>
            <w:vAlign w:val="top"/>
            <w:shd w:fill="203864"/>
          </w:tcPr>
          <w:p>
            <w:pPr>
              <w:pStyle w:val="TableText"/>
            </w:pPr>
            <w:r>
              <w:rPr>
                <w:b/>
                <w:i w:val="0"/>
                <w:color w:val="FFFFFF"/>
              </w:rPr>
              <w:t>Points</w:t>
            </w:r>
          </w:p>
        </w:tc>
      </w:tr>
      <w:tr>
        <w:trPr>
          <w:cantSplit/>
        </w:trPr>
        <w:tc>
          <w:tcPr>
            <w:tcW w:type="dxa" w:w="4450"/>
            <w:vAlign w:val="top"/>
            <w:shd w:fill="EAF2FA"/>
          </w:tcPr>
          <w:p>
            <w:pPr>
              <w:pStyle w:val="TableText"/>
            </w:pPr>
            <w:r>
              <w:rPr>
                <w:b w:val="0"/>
                <w:i w:val="0"/>
              </w:rPr>
              <w:t>What Changed in Your Design — and Why?</w:t>
            </w:r>
          </w:p>
        </w:tc>
        <w:tc>
          <w:tcPr>
            <w:tcW w:type="dxa" w:w="2900"/>
            <w:vAlign w:val="top"/>
            <w:shd w:fill="EAF2FA"/>
          </w:tcPr>
          <w:p>
            <w:pPr>
              <w:pStyle w:val="TableText"/>
            </w:pPr>
            <w:r>
              <w:rPr>
                <w:b w:val="0"/>
                <w:i w:val="0"/>
              </w:rPr>
              <w:t>Initial post + two replies</w:t>
            </w:r>
          </w:p>
        </w:tc>
        <w:tc>
          <w:tcPr>
            <w:tcW w:type="dxa" w:w="1730"/>
            <w:vAlign w:val="top"/>
            <w:shd w:fill="EAF2FA"/>
          </w:tcPr>
          <w:p>
            <w:pPr>
              <w:pStyle w:val="TableText"/>
            </w:pPr>
            <w:r>
              <w:rPr>
                <w:b w:val="0"/>
                <w:i w:val="0"/>
              </w:rPr>
              <w:t>See Blackboard</w:t>
            </w:r>
          </w:p>
        </w:tc>
        <w:tc>
          <w:tcPr>
            <w:tcW w:type="dxa" w:w="1000"/>
            <w:vAlign w:val="top"/>
            <w:shd w:fill="EAF2FA"/>
          </w:tcPr>
          <w:p>
            <w:pPr>
              <w:pStyle w:val="TableText"/>
            </w:pPr>
            <w:r>
              <w:rPr>
                <w:b w:val="0"/>
                <w:i w:val="0"/>
              </w:rPr>
              <w:t>10</w:t>
            </w:r>
          </w:p>
        </w:tc>
      </w:tr>
      <w:tr>
        <w:trPr>
          <w:cantSplit/>
        </w:trPr>
        <w:tc>
          <w:tcPr>
            <w:tcW w:type="dxa" w:w="4450"/>
            <w:vAlign w:val="top"/>
            <w:shd w:fill="F5F8FB"/>
          </w:tcPr>
          <w:p>
            <w:pPr>
              <w:pStyle w:val="TableText"/>
            </w:pPr>
            <w:r>
              <w:rPr>
                <w:b w:val="0"/>
                <w:i w:val="0"/>
              </w:rPr>
              <w:t>Integrated Project Portfolio</w:t>
            </w:r>
          </w:p>
        </w:tc>
        <w:tc>
          <w:tcPr>
            <w:tcW w:type="dxa" w:w="2900"/>
            <w:vAlign w:val="top"/>
            <w:shd w:fill="F5F8FB"/>
          </w:tcPr>
          <w:p>
            <w:pPr>
              <w:pStyle w:val="TableText"/>
            </w:pPr>
            <w:r>
              <w:rPr>
                <w:b w:val="0"/>
                <w:i w:val="0"/>
              </w:rPr>
              <w:t>Revised integrated portfolio</w:t>
            </w:r>
          </w:p>
        </w:tc>
        <w:tc>
          <w:tcPr>
            <w:tcW w:type="dxa" w:w="1730"/>
            <w:vAlign w:val="top"/>
            <w:shd w:fill="F5F8FB"/>
          </w:tcPr>
          <w:p>
            <w:pPr>
              <w:pStyle w:val="TableText"/>
            </w:pPr>
            <w:r>
              <w:rPr>
                <w:b w:val="0"/>
                <w:i w:val="0"/>
              </w:rPr>
              <w:t>See Blackboard</w:t>
            </w:r>
          </w:p>
        </w:tc>
        <w:tc>
          <w:tcPr>
            <w:tcW w:type="dxa" w:w="1000"/>
            <w:vAlign w:val="top"/>
            <w:shd w:fill="F5F8FB"/>
          </w:tcPr>
          <w:p>
            <w:pPr>
              <w:pStyle w:val="TableText"/>
            </w:pPr>
            <w:r>
              <w:rPr>
                <w:b w:val="0"/>
                <w:i w:val="0"/>
              </w:rPr>
              <w:t>20</w:t>
            </w:r>
          </w:p>
        </w:tc>
      </w:tr>
      <w:tr>
        <w:trPr>
          <w:cantSplit/>
        </w:trPr>
        <w:tc>
          <w:tcPr>
            <w:tcW w:type="dxa" w:w="4450"/>
            <w:vAlign w:val="top"/>
            <w:shd w:fill="EAF2FA"/>
          </w:tcPr>
          <w:p>
            <w:pPr>
              <w:pStyle w:val="TableText"/>
            </w:pPr>
            <w:r>
              <w:rPr>
                <w:b w:val="0"/>
                <w:i w:val="0"/>
              </w:rPr>
              <w:t>Final Project Demonstration / Presentation</w:t>
            </w:r>
          </w:p>
        </w:tc>
        <w:tc>
          <w:tcPr>
            <w:tcW w:type="dxa" w:w="2900"/>
            <w:vAlign w:val="top"/>
            <w:shd w:fill="EAF2FA"/>
          </w:tcPr>
          <w:p>
            <w:pPr>
              <w:pStyle w:val="TableText"/>
            </w:pPr>
            <w:r>
              <w:rPr>
                <w:b w:val="0"/>
                <w:i w:val="0"/>
              </w:rPr>
              <w:t>Slides/storyboard + presentation</w:t>
            </w:r>
          </w:p>
        </w:tc>
        <w:tc>
          <w:tcPr>
            <w:tcW w:type="dxa" w:w="1730"/>
            <w:vAlign w:val="top"/>
            <w:shd w:fill="EAF2FA"/>
          </w:tcPr>
          <w:p>
            <w:pPr>
              <w:pStyle w:val="TableText"/>
            </w:pPr>
            <w:r>
              <w:rPr>
                <w:b w:val="0"/>
                <w:i w:val="0"/>
              </w:rPr>
              <w:t>See Blackboard</w:t>
            </w:r>
          </w:p>
        </w:tc>
        <w:tc>
          <w:tcPr>
            <w:tcW w:type="dxa" w:w="1000"/>
            <w:vAlign w:val="top"/>
            <w:shd w:fill="EAF2FA"/>
          </w:tcPr>
          <w:p>
            <w:pPr>
              <w:pStyle w:val="TableText"/>
            </w:pPr>
            <w:r>
              <w:rPr>
                <w:b w:val="0"/>
                <w:i w:val="0"/>
              </w:rPr>
              <w:t>20</w:t>
            </w:r>
          </w:p>
        </w:tc>
      </w:tr>
      <w:tr>
        <w:trPr>
          <w:cantSplit/>
        </w:trPr>
        <w:tc>
          <w:tcPr>
            <w:tcW w:type="dxa" w:w="4450"/>
            <w:vAlign w:val="top"/>
            <w:shd w:fill="F5F8FB"/>
          </w:tcPr>
          <w:p>
            <w:pPr>
              <w:pStyle w:val="TableText"/>
            </w:pPr>
            <w:r>
              <w:rPr>
                <w:b w:val="0"/>
                <w:i w:val="0"/>
              </w:rPr>
              <w:t>TOTAL</w:t>
            </w:r>
          </w:p>
        </w:tc>
        <w:tc>
          <w:tcPr>
            <w:tcW w:type="dxa" w:w="2900"/>
            <w:vAlign w:val="top"/>
            <w:shd w:fill="F5F8FB"/>
          </w:tcPr>
          <w:p>
            <w:pPr>
              <w:pStyle w:val="TableText"/>
            </w:pPr>
          </w:p>
        </w:tc>
        <w:tc>
          <w:tcPr>
            <w:tcW w:type="dxa" w:w="1730"/>
            <w:vAlign w:val="top"/>
            <w:shd w:fill="F5F8FB"/>
          </w:tcPr>
          <w:p>
            <w:pPr>
              <w:pStyle w:val="TableText"/>
            </w:pPr>
          </w:p>
        </w:tc>
        <w:tc>
          <w:tcPr>
            <w:tcW w:type="dxa" w:w="1000"/>
            <w:vAlign w:val="top"/>
            <w:shd w:fill="F5F8FB"/>
          </w:tcPr>
          <w:p>
            <w:pPr>
              <w:pStyle w:val="TableText"/>
            </w:pPr>
            <w:r>
              <w:rPr>
                <w:b w:val="0"/>
                <w:i w:val="0"/>
              </w:rPr>
              <w:t>50</w:t>
            </w:r>
          </w:p>
        </w:tc>
      </w:tr>
    </w:tbl>
    <w:p>
      <w:pPr>
        <w:pStyle w:val="Heading4"/>
      </w:pPr>
      <w:r>
        <w:rPr>
          <w:b w:val="0"/>
          <w:i w:val="0"/>
        </w:rPr>
        <w:t>Before You Submit</w:t>
      </w:r>
    </w:p>
    <w:p>
      <w:pPr>
        <w:pStyle w:val="ListBullet"/>
        <w:numPr>
          <w:ilvl w:val="0"/>
          <w:numId w:val="96"/>
        </w:numPr>
      </w:pPr>
      <w:r>
        <w:rPr>
          <w:b w:val="0"/>
          <w:i w:val="0"/>
        </w:rPr>
        <w:t>Check that each required prompt component is visibly addressed, using descriptive headings.</w:t>
      </w:r>
    </w:p>
    <w:p>
      <w:pPr>
        <w:pStyle w:val="ListBullet"/>
        <w:numPr>
          <w:ilvl w:val="0"/>
          <w:numId w:val="96"/>
        </w:numPr>
      </w:pPr>
      <w:r>
        <w:rPr>
          <w:b w:val="0"/>
          <w:i w:val="0"/>
        </w:rPr>
        <w:t>Match the discussion claim to the analysis evidence and the portfolio decision. Explain a disagreement rather than hiding it.</w:t>
      </w:r>
    </w:p>
    <w:p>
      <w:pPr>
        <w:pStyle w:val="ListBullet"/>
        <w:numPr>
          <w:ilvl w:val="0"/>
          <w:numId w:val="96"/>
        </w:numPr>
      </w:pPr>
      <w:r>
        <w:rPr>
          <w:b w:val="0"/>
          <w:i w:val="0"/>
        </w:rPr>
        <w:t>Keep references traceable: name the chapter or section, identify external sources, and date time-sensitive evidence.</w:t>
      </w:r>
    </w:p>
    <w:p>
      <w:pPr>
        <w:pStyle w:val="ListBullet"/>
        <w:numPr>
          <w:ilvl w:val="0"/>
          <w:numId w:val="96"/>
        </w:numPr>
      </w:pPr>
      <w:r>
        <w:rPr>
          <w:b w:val="0"/>
          <w:i w:val="0"/>
        </w:rPr>
        <w:t>Confirm that diagrams and tables are readable and that the submitted files open normally.</w:t>
      </w:r>
    </w:p>
    <w:p>
      <w:pPr>
        <w:pStyle w:val="ListBullet"/>
        <w:numPr>
          <w:ilvl w:val="0"/>
          <w:numId w:val="96"/>
        </w:numPr>
      </w:pPr>
      <w:r>
        <w:rPr>
          <w:b w:val="0"/>
          <w:i w:val="0"/>
        </w:rPr>
        <w:t>Label assumptions, illustrative examples, measured observations, and projections consistently.</w:t>
      </w:r>
    </w:p>
    <w:p>
      <w:pPr>
        <w:pStyle w:val="ListBullet"/>
        <w:numPr>
          <w:ilvl w:val="0"/>
          <w:numId w:val="96"/>
        </w:numPr>
      </w:pPr>
      <w:r>
        <w:rPr>
          <w:b w:val="0"/>
          <w:i w:val="0"/>
        </w:rPr>
        <w:t>Read the rubric once as a reviewer. Identify where the evidence for each criterion appears.</w:t>
      </w:r>
    </w:p>
    <w:p>
      <w:pPr>
        <w:pStyle w:val="Heading4"/>
      </w:pPr>
      <w:r>
        <w:rPr>
          <w:b w:val="0"/>
          <w:i w:val="0"/>
        </w:rPr>
        <w:t>Portfolio Continuity</w:t>
      </w:r>
    </w:p>
    <w:p>
      <w:pPr/>
      <w:r>
        <w:rPr>
          <w:b w:val="0"/>
          <w:i w:val="0"/>
        </w:rPr>
        <w:t>The portfolio and demonstration should tell the same story. Resolve any mismatch between slides and the final document, and retain the sources that support important claims. The project ends with a defensible design and a clear account of remaining work; a production deployment is not required.</w:t>
      </w:r>
    </w:p>
    <w:p>
      <w:pPr>
        <w:pStyle w:val="Heading4"/>
      </w:pPr>
      <w:r>
        <w:rPr>
          <w:b w:val="0"/>
          <w:i w:val="0"/>
        </w:rPr>
        <w:t>Self-Check for Understanding</w:t>
      </w:r>
    </w:p>
    <w:p>
      <w:pPr/>
      <w:r>
        <w:rPr>
          <w:b w:val="0"/>
          <w:i w:val="0"/>
        </w:rPr>
        <w:t>Before closing the week, ask yourself: What decision can I now defend more clearly? Which alternative did I reject, and why? What evidence would change my mind? Where does the user experience a failure if my assumptions are wrong? These are reflection prompts to improve the three submissions, not an additional graded assignment.</w:t>
      </w:r>
    </w:p>
    <w:p>
      <w:pPr>
        <w:pStyle w:val="Submission"/>
        <w:ind w:left="144" w:right="144"/>
        <w:shd w:fill="EAF3E5"/>
      </w:pPr>
      <w:r>
        <w:rPr>
          <w:b w:val="0"/>
          <w:i w:val="0"/>
        </w:rPr>
        <w:t>Submission check: Use the correct Blackboard item for each assignment. Retain a local editable copy and verify the uploaded file preview. Use the dates and time zone configured by your instructor.</w:t>
      </w:r>
    </w:p>
    <w:sectPr w:rsidR="00FC693F" w:rsidRPr="0006063C" w:rsidSect="00034616">
      <w:footerReference w:type="default" r:id="rId9"/>
      <w:headerReference w:type="default" r:id="rId10"/>
      <w:pgSz w:w="12240" w:h="15840"/>
      <w:pgMar w:top="1080" w:right="1080" w:bottom="1080" w:left="1080" w:header="432" w:footer="461"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Generative AI | First Open Edition | Week 16 Module Guide</w:t>
    </w:r>
  </w:p>
  <w:p>
    <w:pPr>
      <w:pStyle w:val="Footer"/>
    </w:pPr>
    <w:r>
      <w:t>Final Project Demonstration &amp; Portfolio Synthesis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70">
    <w:multiLevelType w:val="singleLevel"/>
    <w:lvl w:ilvl="0">
      <w:start w:val="1"/>
      <w:numFmt w:val="bullet"/>
      <w:lvlText w:val="•"/>
      <w:suff w:val="space"/>
      <w:lvlJc w:val="left"/>
      <w:pPr>
        <w:tabs>
          <w:tab w:val="num" w:pos="360"/>
        </w:tabs>
        <w:ind w:left="360" w:hanging="180"/>
      </w:pPr>
    </w:lvl>
  </w:abstractNum>
  <w:abstractNum w:abstractNumId="71">
    <w:multiLevelType w:val="singleLevel"/>
    <w:lvl w:ilvl="0">
      <w:start w:val="1"/>
      <w:numFmt w:val="decimal"/>
      <w:lvlText w:val="%1."/>
      <w:suff w:val="space"/>
      <w:lvlJc w:val="left"/>
      <w:pPr>
        <w:tabs>
          <w:tab w:val="num" w:pos="360"/>
        </w:tabs>
        <w:ind w:left="360" w:hanging="180"/>
      </w:pPr>
    </w:lvl>
  </w:abstractNum>
  <w:num w:numId="80">
    <w:abstractNumId w:val="70"/>
    <w:lvlOverride w:ilvl="0">
      <w:startOverride w:val="1"/>
    </w:lvlOverride>
  </w:num>
  <w:num w:numId="81">
    <w:abstractNumId w:val="71"/>
    <w:lvlOverride w:ilvl="0">
      <w:startOverride w:val="1"/>
    </w:lvlOverride>
  </w:num>
  <w:num w:numId="82">
    <w:abstractNumId w:val="71"/>
    <w:lvlOverride w:ilvl="0">
      <w:startOverride w:val="2"/>
    </w:lvlOverride>
  </w:num>
  <w:num w:numId="83">
    <w:abstractNumId w:val="71"/>
    <w:lvlOverride w:ilvl="0">
      <w:startOverride w:val="3"/>
    </w:lvlOverride>
  </w:num>
  <w:num w:numId="84">
    <w:abstractNumId w:val="71"/>
    <w:lvlOverride w:ilvl="0">
      <w:startOverride w:val="4"/>
    </w:lvlOverride>
  </w:num>
  <w:num w:numId="85">
    <w:abstractNumId w:val="71"/>
    <w:lvlOverride w:ilvl="0">
      <w:startOverride w:val="5"/>
    </w:lvlOverride>
  </w:num>
  <w:num w:numId="86">
    <w:abstractNumId w:val="71"/>
    <w:lvlOverride w:ilvl="0">
      <w:startOverride w:val="6"/>
    </w:lvlOverride>
  </w:num>
  <w:num w:numId="87">
    <w:abstractNumId w:val="71"/>
    <w:lvlOverride w:ilvl="0">
      <w:startOverride w:val="7"/>
    </w:lvlOverride>
  </w:num>
  <w:num w:numId="88">
    <w:abstractNumId w:val="71"/>
    <w:lvlOverride w:ilvl="0">
      <w:startOverride w:val="8"/>
    </w:lvlOverride>
  </w:num>
  <w:num w:numId="89">
    <w:abstractNumId w:val="71"/>
    <w:lvlOverride w:ilvl="0">
      <w:startOverride w:val="9"/>
    </w:lvlOverride>
  </w:num>
  <w:num w:numId="90">
    <w:abstractNumId w:val="71"/>
    <w:lvlOverride w:ilvl="0">
      <w:startOverride w:val="10"/>
    </w:lvlOverride>
  </w:num>
  <w:num w:numId="91">
    <w:abstractNumId w:val="71"/>
    <w:lvlOverride w:ilvl="0">
      <w:startOverride w:val="11"/>
    </w:lvlOverride>
  </w:num>
  <w:num w:numId="92">
    <w:abstractNumId w:val="71"/>
    <w:lvlOverride w:ilvl="0">
      <w:startOverride w:val="12"/>
    </w:lvlOverride>
  </w:num>
  <w:num w:numId="93">
    <w:abstractNumId w:val="71"/>
    <w:lvlOverride w:ilvl="0">
      <w:startOverride w:val="13"/>
    </w:lvlOverride>
  </w:num>
  <w:num w:numId="94">
    <w:abstractNumId w:val="71"/>
    <w:lvlOverride w:ilvl="0">
      <w:startOverride w:val="14"/>
    </w:lvlOverride>
  </w:num>
  <w:num w:numId="95">
    <w:abstractNumId w:val="71"/>
    <w:lvlOverride w:ilvl="0">
      <w:startOverride w:val="15"/>
    </w:lvlOverride>
  </w:num>
  <w:num w:numId="96">
    <w:abstractNumId w:val="7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59" w:lineRule="auto"/>
    </w:pPr>
    <w:rPr>
      <w:rFonts w:ascii="Arial" w:hAnsi="Arial"/>
      <w:b w:val="0"/>
      <w:color w:val="202B38"/>
      <w:sz w:val="21"/>
      <w:rFonts w:ascii="Arial" w:hAnsi="Arial" w:eastAsia="Arial" w:cs="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widowControl/>
      <w:tabs>
        <w:tab w:val="center" w:pos="4680"/>
        <w:tab w:val="right" w:pos="9360"/>
      </w:tabs>
      <w:spacing w:after="0" w:line="259" w:lineRule="auto" w:before="0"/>
    </w:pPr>
    <w:rPr>
      <w:rFonts w:ascii="Arial" w:hAnsi="Arial"/>
      <w:b w:val="0"/>
      <w:color w:val="203864"/>
      <w:sz w:val="16"/>
      <w:rFonts w:ascii="Arial" w:hAnsi="Arial" w:eastAsia="Arial" w:cs="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160" w:after="120" w:line="259" w:lineRule="auto"/>
      <w:outlineLvl w:val="0"/>
    </w:pPr>
    <w:rPr>
      <w:rFonts w:asciiTheme="majorHAnsi" w:eastAsiaTheme="majorEastAsia" w:hAnsiTheme="majorHAnsi" w:cstheme="majorBidi" w:ascii="Arial" w:hAnsi="Arial"/>
      <w:b/>
      <w:bCs/>
      <w:color w:val="203864"/>
      <w:sz w:val="36"/>
      <w:szCs w:val="28"/>
      <w:rFonts w:ascii="Arial" w:hAnsi="Arial" w:eastAsia="Arial" w:cs="Arial"/>
    </w:rPr>
  </w:style>
  <w:style w:type="paragraph" w:styleId="Heading2">
    <w:name w:val="heading 2"/>
    <w:basedOn w:val="Normal"/>
    <w:next w:val="Normal"/>
    <w:link w:val="Heading2Char"/>
    <w:uiPriority w:val="9"/>
    <w:unhideWhenUsed/>
    <w:qFormat/>
    <w:rsid w:val="00FC693F"/>
    <w:pPr>
      <w:keepNext/>
      <w:keepLines/>
      <w:widowControl/>
      <w:spacing w:before="160" w:after="120" w:line="259" w:lineRule="auto"/>
      <w:outlineLvl w:val="1"/>
    </w:pPr>
    <w:rPr>
      <w:rFonts w:asciiTheme="majorHAnsi" w:eastAsiaTheme="majorEastAsia" w:hAnsiTheme="majorHAnsi" w:cstheme="majorBidi" w:ascii="Arial" w:hAnsi="Arial"/>
      <w:b/>
      <w:bCs/>
      <w:color w:val="2F65A0"/>
      <w:sz w:val="28"/>
      <w:szCs w:val="26"/>
      <w:rFonts w:ascii="Arial" w:hAnsi="Arial" w:eastAsia="Arial" w:cs="Arial"/>
    </w:rPr>
  </w:style>
  <w:style w:type="paragraph" w:styleId="Heading3">
    <w:name w:val="heading 3"/>
    <w:basedOn w:val="Normal"/>
    <w:next w:val="Normal"/>
    <w:link w:val="Heading3Char"/>
    <w:uiPriority w:val="9"/>
    <w:unhideWhenUsed/>
    <w:qFormat/>
    <w:rsid w:val="00FC693F"/>
    <w:pPr>
      <w:keepNext/>
      <w:keepLines/>
      <w:widowControl/>
      <w:spacing w:before="160" w:after="120" w:line="259" w:lineRule="auto"/>
      <w:outlineLvl w:val="2"/>
    </w:pPr>
    <w:rPr>
      <w:rFonts w:asciiTheme="majorHAnsi" w:eastAsiaTheme="majorEastAsia" w:hAnsiTheme="majorHAnsi" w:cstheme="majorBidi" w:ascii="Arial" w:hAnsi="Arial"/>
      <w:b/>
      <w:bCs/>
      <w:color w:val="2F65A0"/>
      <w:sz w:val="24"/>
      <w:rFonts w:ascii="Arial" w:hAnsi="Arial" w:eastAsia="Arial" w:cs="Arial"/>
    </w:rPr>
  </w:style>
  <w:style w:type="paragraph" w:styleId="Heading4">
    <w:name w:val="heading 4"/>
    <w:basedOn w:val="Normal"/>
    <w:next w:val="Normal"/>
    <w:link w:val="Heading4Char"/>
    <w:uiPriority w:val="9"/>
    <w:semiHidden/>
    <w:unhideWhenUsed/>
    <w:qFormat/>
    <w:rsid w:val="00FC693F"/>
    <w:pPr>
      <w:keepNext/>
      <w:keepLines/>
      <w:widowControl/>
      <w:spacing w:before="160" w:after="120" w:line="259" w:lineRule="auto"/>
      <w:outlineLvl w:val="3"/>
    </w:pPr>
    <w:rPr>
      <w:rFonts w:asciiTheme="majorHAnsi" w:eastAsiaTheme="majorEastAsia" w:hAnsiTheme="majorHAnsi" w:cstheme="majorBidi" w:ascii="Arial" w:hAnsi="Arial"/>
      <w:b/>
      <w:bCs/>
      <w:i/>
      <w:iCs/>
      <w:color w:val="2F65A0"/>
      <w:sz w:val="22"/>
      <w:rFonts w:ascii="Arial" w:hAnsi="Arial" w:eastAsia="Arial" w:cs="Aria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pBdr>
        <w:bottom w:val="single" w:sz="8" w:space="4" w:color="4F81BD" w:themeColor="accent1"/>
      </w:pBdr>
      <w:spacing w:after="160" w:line="259" w:lineRule="auto" w:before="0"/>
      <w:contextualSpacing/>
    </w:pPr>
    <w:rPr>
      <w:rFonts w:asciiTheme="majorHAnsi" w:eastAsiaTheme="majorEastAsia" w:hAnsiTheme="majorHAnsi" w:cstheme="majorBidi" w:ascii="Arial" w:hAnsi="Arial"/>
      <w:b/>
      <w:color w:val="203864"/>
      <w:spacing w:val="5"/>
      <w:kern w:val="28"/>
      <w:sz w:val="44"/>
      <w:szCs w:val="52"/>
      <w:rFonts w:ascii="Arial" w:hAnsi="Arial" w:eastAsia="Arial" w:cs="Aria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before="0" w:after="160" w:line="259" w:lineRule="auto"/>
    </w:pPr>
    <w:rPr>
      <w:rFonts w:asciiTheme="majorHAnsi" w:eastAsiaTheme="majorEastAsia" w:hAnsiTheme="majorHAnsi" w:cstheme="majorBidi" w:ascii="Arial" w:hAnsi="Arial"/>
      <w:b w:val="0"/>
      <w:i/>
      <w:iCs/>
      <w:color w:val="202B38"/>
      <w:spacing w:val="15"/>
      <w:sz w:val="24"/>
      <w:szCs w:val="24"/>
      <w:rFonts w:ascii="Arial" w:hAnsi="Arial" w:eastAsia="Arial" w:cs="Aria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before="0" w:after="100" w:line="259" w:lineRule="auto"/>
      <w:contextualSpacing/>
    </w:pPr>
    <w:rPr>
      <w:rFonts w:ascii="Arial" w:hAnsi="Arial"/>
      <w:b w:val="0"/>
      <w:color w:val="202B38"/>
      <w:sz w:val="21"/>
      <w:rFonts w:ascii="Arial" w:hAnsi="Arial" w:eastAsia="Arial" w:cs="Aria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before="0" w:after="100" w:line="259" w:lineRule="auto"/>
      <w:contextualSpacing/>
    </w:pPr>
    <w:rPr>
      <w:rFonts w:ascii="Arial" w:hAnsi="Arial"/>
      <w:b w:val="0"/>
      <w:color w:val="202B38"/>
      <w:sz w:val="21"/>
      <w:rFonts w:ascii="Arial" w:hAnsi="Arial" w:eastAsia="Arial" w:cs="Arial"/>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icker">
    <w:name w:val="Kicker"/>
    <w:pPr>
      <w:widowControl/>
      <w:spacing w:before="0" w:after="100" w:line="259" w:lineRule="auto"/>
    </w:pPr>
    <w:rPr>
      <w:rFonts w:ascii="Arial" w:hAnsi="Arial"/>
      <w:b/>
      <w:color w:val="2F65A0"/>
      <w:sz w:val="22"/>
      <w:rFonts w:ascii="Arial" w:hAnsi="Arial" w:eastAsia="Arial" w:cs="Arial"/>
    </w:rPr>
  </w:style>
  <w:style w:type="paragraph" w:customStyle="1" w:styleId="SectionBand">
    <w:name w:val="Section Band"/>
    <w:pPr>
      <w:widowControl/>
      <w:spacing w:before="140" w:after="120" w:line="259" w:lineRule="auto"/>
    </w:pPr>
    <w:rPr>
      <w:rFonts w:ascii="Arial" w:hAnsi="Arial"/>
      <w:b/>
      <w:color w:val="203864"/>
      <w:sz w:val="20"/>
      <w:rFonts w:ascii="Arial" w:hAnsi="Arial" w:eastAsia="Arial" w:cs="Arial"/>
    </w:rPr>
  </w:style>
  <w:style w:type="paragraph" w:customStyle="1" w:styleId="TableText">
    <w:name w:val="Table Text"/>
    <w:pPr>
      <w:widowControl/>
      <w:spacing w:before="0" w:after="60" w:line="259" w:lineRule="auto"/>
    </w:pPr>
    <w:rPr>
      <w:rFonts w:ascii="Arial" w:hAnsi="Arial"/>
      <w:b w:val="0"/>
      <w:color w:val="202B38"/>
      <w:sz w:val="19"/>
      <w:rFonts w:ascii="Arial" w:hAnsi="Arial" w:eastAsia="Arial" w:cs="Arial"/>
    </w:rPr>
  </w:style>
  <w:style w:type="paragraph" w:customStyle="1" w:styleId="Guidance">
    <w:name w:val="Guidance"/>
    <w:pPr>
      <w:keepLines/>
      <w:widowControl/>
      <w:spacing w:before="100" w:after="160" w:line="259" w:lineRule="auto"/>
    </w:pPr>
    <w:rPr>
      <w:rFonts w:ascii="Arial" w:hAnsi="Arial"/>
      <w:b w:val="0"/>
      <w:color w:val="202B38"/>
      <w:sz w:val="19"/>
      <w:rFonts w:ascii="Arial" w:hAnsi="Arial" w:eastAsia="Arial" w:cs="Arial"/>
    </w:rPr>
  </w:style>
  <w:style w:type="paragraph" w:customStyle="1" w:styleId="Submission">
    <w:name w:val="Submission"/>
    <w:pPr>
      <w:keepLines/>
      <w:widowControl/>
      <w:spacing w:before="100" w:after="160" w:line="259" w:lineRule="auto"/>
    </w:pPr>
    <w:rPr>
      <w:rFonts w:ascii="Arial" w:hAnsi="Arial"/>
      <w:b w:val="0"/>
      <w:color w:val="202B38"/>
      <w:sz w:val="20"/>
      <w:rFonts w:ascii="Arial" w:hAnsi="Arial" w:eastAsia="Arial" w:cs="Arial"/>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yperlink" Target="https://www.oreilly.com/library/view/ai-engineering/9781098166298/" TargetMode="External"/><Relationship Id="rId12" Type="http://schemas.openxmlformats.org/officeDocument/2006/relationships/hyperlink" Target="https://github.com/chiphuyen/aie-book/blob/main/ToC.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Generative AI — Blackboard Module Guides</dc:title>
  <dc:subject>Graduate course | First Open Edition</dc:subject>
  <dc:creator>Moody Amakobe</dc:creator>
  <cp:keywords>Generative AI, Blackboard, weekly module guides</cp:keywords>
  <dc:description>generated by python-docx</dc:description>
  <cp:lastModifiedBy/>
  <cp:revision>1</cp:revision>
  <dcterms:created xsi:type="dcterms:W3CDTF">2013-12-23T23:15:00Z</dcterms:created>
  <dcterms:modified xsi:type="dcterms:W3CDTF">2013-12-23T23:15:00Z</dcterms:modified>
  <cp:category/>
</cp:coreProperties>
</file>