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5 Module Guide</w:t>
      </w:r>
    </w:p>
    <w:p>
      <w:pPr>
        <w:pStyle w:val="Heading2"/>
      </w:pPr>
      <w:r>
        <w:rPr>
          <w:b w:val="0"/>
          <w:i w:val="0"/>
        </w:rPr>
        <w:t>Agents — AI That Takes Action</w:t>
      </w:r>
    </w:p>
    <w:p>
      <w:pPr/>
      <w:r>
        <w:rPr>
          <w:b/>
          <w:i w:val="0"/>
        </w:rPr>
        <w:t>Chapter:</w:t>
      </w:r>
      <w:r>
        <w:rPr>
          <w:b w:val="0"/>
          <w:i w:val="0"/>
        </w:rPr>
        <w:t xml:space="preserve"> Chapter 5: Agents — AI That Takes Action</w:t>
      </w:r>
    </w:p>
    <w:p>
      <w:pPr/>
      <w:r>
        <w:rPr>
          <w:b/>
          <w:i w:val="0"/>
        </w:rPr>
        <w:t>Project:</w:t>
      </w:r>
      <w:r>
        <w:rPr>
          <w:b w:val="0"/>
          <w:i w:val="0"/>
        </w:rPr>
        <w:t xml:space="preserve"> Agent Capability Plan</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5 Introduction &amp; Objectives</w:t>
      </w:r>
    </w:p>
    <w:p>
      <w:pPr>
        <w:pStyle w:val="Heading4"/>
      </w:pPr>
      <w:r>
        <w:rPr>
          <w:b w:val="0"/>
          <w:i w:val="0"/>
        </w:rPr>
        <w:t>Module Introduction</w:t>
      </w:r>
    </w:p>
    <w:p>
      <w:pPr/>
      <w:r>
        <w:rPr>
          <w:b w:val="0"/>
          <w:i w:val="0"/>
        </w:rPr>
        <w:t>Picture two versions of the same assistant. You ask both: "Do I have a scheduling conflict next Tuesday, and if so, can you fix it?"</w:t>
      </w:r>
    </w:p>
    <w:p>
      <w:pPr/>
      <w:r>
        <w:rPr>
          <w:b w:val="0"/>
          <w:i w:val="0"/>
        </w:rPr>
        <w:t>The first version reads your calendar, if you've pasted it in, and tells you: "Yes, you have two meetings booked at 2 PM: the budget review and the client call." That's the end of the interaction. You now know something you didn't know before, and you're on your own to actually resolve it, open your calendar, decide which meeting to move, draft a message to the other attendees, send it.</w:t>
      </w:r>
    </w:p>
    <w:p>
      <w:pPr/>
      <w:r>
        <w:rPr>
          <w:b w:val="0"/>
          <w:i w:val="0"/>
        </w:rPr>
        <w:t>The second version does something categorically different. It checks your calendar directly. It identifies the conflict. It proposes that the client call be moved thirty minutes later, checks that the new time also works for everyone else on the invite, drafts a reschedule message, and asks you one question before sending anything: "Move the client call to 2:30 PM and notify attendees? Yes/No." You say yes, and it's done.</w:t>
      </w:r>
    </w:p>
    <w:p>
      <w:pPr/>
      <w:r>
        <w:rPr>
          <w:b w:val="0"/>
          <w:i w:val="0"/>
        </w:rPr>
        <w:t xml:space="preserve">Both versions used the same underlying language model. The difference between them has nothing to do with how smart the model is and everything to do with what it's allowed to </w:t>
      </w:r>
      <w:r>
        <w:rPr>
          <w:b w:val="0"/>
          <w:i/>
        </w:rPr>
        <w:t>do</w:t>
      </w:r>
      <w:r>
        <w:rPr>
          <w:b w:val="0"/>
          <w:i w:val="0"/>
        </w:rPr>
        <w:t>. That difference, from answering questions to taking action in the world, is what this chapter is about, and it's arguably the single most consequential shift happening in applied generative AI right now. It's also the shift that raises this book's safety and control questions most sharply, not as an abstract concern for a later chapter, but as a design problem you'll need to solve for your own project this week.</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the change in risk when an assistant can act rather than only answer.</w:t>
            </w:r>
          </w:p>
        </w:tc>
        <w:tc>
          <w:tcPr>
            <w:tcW w:type="dxa" w:w="2280"/>
            <w:vAlign w:val="top"/>
            <w:shd w:fill="EAF2FA"/>
          </w:tcPr>
          <w:p>
            <w:pPr>
              <w:pStyle w:val="TableText"/>
            </w:pPr>
            <w:r>
              <w:rPr>
                <w:b w:val="0"/>
                <w:i w:val="0"/>
              </w:rPr>
              <w:t>CO 4 / PSLOs 5</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agent architectures against a bounded research-assistant workflow.</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a narrowly scoped tool specification and permission boundary.</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Evaluate action quality and recovery using cost and reversibility.</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a human checkpoint for a concrete agent failure mode.</w:t>
            </w:r>
          </w:p>
        </w:tc>
        <w:tc>
          <w:tcPr>
            <w:tcW w:type="dxa" w:w="2280"/>
            <w:vAlign w:val="top"/>
            <w:shd w:fill="EAF2FA"/>
          </w:tcPr>
          <w:p>
            <w:pPr>
              <w:pStyle w:val="TableText"/>
            </w:pPr>
            <w:r>
              <w:rPr>
                <w:b w:val="0"/>
                <w:i w:val="0"/>
              </w:rPr>
              <w:t>CO 4 / PSLOs 5</w:t>
            </w:r>
          </w:p>
        </w:tc>
      </w:tr>
    </w:tbl>
    <w:p>
      <w:pPr>
        <w:pStyle w:val="Heading4"/>
      </w:pPr>
      <w:r>
        <w:rPr>
          <w:b w:val="0"/>
          <w:i w:val="0"/>
        </w:rPr>
        <w:t>Approved CO / PSLO Alignment</w:t>
      </w:r>
    </w:p>
    <w:p>
      <w:pPr/>
      <w:r>
        <w:rPr>
          <w:b w:val="0"/>
          <w:i w:val="0"/>
        </w:rPr>
        <w:t xml:space="preserve">This week emphasizes </w:t>
      </w:r>
      <w:r>
        <w:rPr>
          <w:b/>
          <w:i w:val="0"/>
        </w:rPr>
        <w:t>CO 2, CO 3, CO 4 / PSLOs 2, 3, 4, 5</w:t>
      </w:r>
      <w:r>
        <w:rPr>
          <w:b w:val="0"/>
          <w:i w:val="0"/>
        </w:rPr>
        <w:t>. Each objective uses only the approved CO-to-PSLO mapping; a PSLO code indicates curricular alignment, not that this single week independently demonstrates the entire program outcome.</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4:</w:t>
      </w:r>
      <w:r>
        <w:rPr>
          <w:b w:val="0"/>
          <w:i w:val="0"/>
        </w:rPr>
        <w:t xml:space="preserve"> Assess ethical, societal, legal, and security considerations associated with the development and deployment of generative artificial intelligence systems.</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5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5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5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Agent Capability Plan.</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5: Agents — AI That Takes Action</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Klarna's AI Customer Service Agent</w:t>
      </w:r>
      <w:r>
        <w:rPr>
          <w:b w:val="0"/>
          <w:i w:val="0"/>
        </w:rPr>
        <w:t xml:space="preserve">, the wrap-up, and </w:t>
      </w:r>
      <w:r>
        <w:rPr>
          <w:b/>
          <w:i w:val="0"/>
        </w:rPr>
        <w:t>Project Milestone: Agent Capability Plan</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6: RAG and Agents — agent selections only</w:t>
      </w:r>
    </w:p>
    <w:p>
      <w:pPr/>
      <w:r>
        <w:rPr>
          <w:b w:val="0"/>
          <w:i w:val="0"/>
        </w:rPr>
        <w:t>Focus: Agent Overview, Tools, Planning, Agent Failure Modes and Evaluation, and Memory.</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5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Yao, S., et al. (2022). "ReAct: Synergizing Reasoning and Acting in Language Models" — The paper that introduced the ReAct pattern covered in section 5.3.</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5 Assignments</w:t>
      </w:r>
    </w:p>
    <w:p>
      <w:pPr/>
      <w:r>
        <w:rPr>
          <w:b w:val="0"/>
          <w:i w:val="0"/>
        </w:rPr>
        <w:t xml:space="preserve">The discussion develops a judgment about </w:t>
      </w:r>
      <w:r>
        <w:rPr>
          <w:b/>
          <w:i w:val="0"/>
        </w:rPr>
        <w:t>How Much Autonomy Should an AI Agent Have</w:t>
      </w:r>
      <w:r>
        <w:rPr>
          <w:b w:val="0"/>
          <w:i w:val="0"/>
        </w:rPr>
        <w:t>. The applied work tests that judgment against Klarna's AI Customer Service Agent. The milestone carries the evidence into Agent Capability Plan.</w:t>
      </w:r>
    </w:p>
    <w:p>
      <w:pPr>
        <w:pStyle w:val="Heading3"/>
      </w:pPr>
      <w:r>
        <w:rPr>
          <w:b w:val="0"/>
          <w:i w:val="0"/>
        </w:rPr>
        <w:t>Assignment 1 — How Much Autonomy Should an AI Agent Have?</w:t>
      </w:r>
    </w:p>
    <w:p>
      <w:pPr>
        <w:pStyle w:val="Submission"/>
        <w:ind w:left="144" w:right="144"/>
        <w:shd w:fill="EAF3E5"/>
      </w:pPr>
      <w:r>
        <w:rPr>
          <w:b w:val="0"/>
          <w:i w:val="0"/>
        </w:rPr>
        <w:t>Type: Discussion Board. Points: 50. Submit one initial post and two peer responses in the Week 5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Propose one action your assistant might take and place it on the human-in-the-loop spectrum.</w:t>
      </w:r>
    </w:p>
    <w:p>
      <w:pPr/>
      <w:r>
        <w:rPr>
          <w:b/>
          <w:i w:val="0"/>
        </w:rPr>
        <w:t>Part B — Comparison:</w:t>
      </w:r>
      <w:r>
        <w:rPr>
          <w:b w:val="0"/>
          <w:i w:val="0"/>
        </w:rPr>
        <w:t xml:space="preserve"> Compare autonomous execution with approval before execution using cost, reversibility, and ambiguity.</w:t>
      </w:r>
    </w:p>
    <w:p>
      <w:pPr/>
      <w:r>
        <w:rPr>
          <w:b/>
          <w:i w:val="0"/>
        </w:rPr>
        <w:t>Part C — Judgment:</w:t>
      </w:r>
      <w:r>
        <w:rPr>
          <w:b w:val="0"/>
          <w:i w:val="0"/>
        </w:rPr>
        <w:t xml:space="preserve"> Explain how goal hijacking changes the risk and name the narrowest tool permission that still serves the user.</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10</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Klarna Agent Case + Human-in-the-Loop Boundary Analysis</w:t>
      </w:r>
    </w:p>
    <w:p>
      <w:pPr>
        <w:pStyle w:val="Submission"/>
        <w:ind w:left="144" w:right="144"/>
        <w:shd w:fill="EAF3E5"/>
      </w:pPr>
      <w:r>
        <w:rPr>
          <w:b w:val="0"/>
          <w:i w:val="0"/>
        </w:rPr>
        <w:t>Type: Applied analysis. Points: 75. Submit one PDF or DOCX to Week 5 Assignment 2. Aim for 600–800 words of analysis plus the requested matrix, diagram, prompts, or evidence appendix; these artifacts are not included in the word guide.</w:t>
      </w:r>
    </w:p>
    <w:p>
      <w:pPr/>
      <w:r>
        <w:rPr>
          <w:b w:val="0"/>
          <w:i w:val="0"/>
        </w:rPr>
        <w:t xml:space="preserve">Use </w:t>
      </w:r>
      <w:r>
        <w:rPr>
          <w:b/>
          <w:i w:val="0"/>
        </w:rPr>
        <w:t>Klarna's AI Customer Service Agent</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Analyze the Klarna case as presented in Chapter 5. Separate answering a customer from changing an order or issuing a refund.</w:t>
      </w:r>
    </w:p>
    <w:p>
      <w:pPr>
        <w:pStyle w:val="ListNumber"/>
        <w:numPr>
          <w:ilvl w:val="0"/>
          <w:numId w:val="82"/>
        </w:numPr>
      </w:pPr>
      <w:r>
        <w:rPr>
          <w:b w:val="0"/>
          <w:i w:val="0"/>
        </w:rPr>
        <w:t>Build an action/approval matrix for three customer-service actions. For each, state inputs, allowed scope, reversibility, and escalation conditions.</w:t>
      </w:r>
    </w:p>
    <w:p>
      <w:pPr>
        <w:pStyle w:val="ListNumber"/>
        <w:numPr>
          <w:ilvl w:val="0"/>
          <w:numId w:val="83"/>
        </w:numPr>
      </w:pPr>
      <w:r>
        <w:rPr>
          <w:b w:val="0"/>
          <w:i w:val="0"/>
        </w:rPr>
        <w:t>Walk through a malformed input or ambiguous refund request. Show how a narrow tool schema and a human checkpoint change the outcome.</w:t>
      </w:r>
    </w:p>
    <w:p>
      <w:pPr>
        <w:pStyle w:val="ListNumber"/>
        <w:numPr>
          <w:ilvl w:val="0"/>
          <w:numId w:val="84"/>
        </w:numPr>
      </w:pPr>
      <w:r>
        <w:rPr>
          <w:b w:val="0"/>
          <w:i w:val="0"/>
        </w:rPr>
        <w:t>Compare ReAct with plan-and-execute or reflection for this bounded workflow. Recommend a pattern and state one unresolved failure mode.</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25</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75</w:t>
            </w:r>
          </w:p>
        </w:tc>
      </w:tr>
    </w:tbl>
    <w:p>
      <w:r>
        <w:br w:type="page"/>
      </w:r>
    </w:p>
    <w:p>
      <w:pPr>
        <w:pStyle w:val="Heading3"/>
      </w:pPr>
      <w:r>
        <w:rPr>
          <w:b w:val="0"/>
          <w:i w:val="0"/>
        </w:rPr>
        <w:t>Assignment 3 — Research Assistant Milestone 5: Agent Capability Plan</w:t>
      </w:r>
    </w:p>
    <w:p>
      <w:pPr>
        <w:pStyle w:val="Submission"/>
        <w:ind w:left="144" w:right="144"/>
        <w:shd w:fill="EAF3E5"/>
      </w:pPr>
      <w:r>
        <w:rPr>
          <w:b w:val="0"/>
          <w:i w:val="0"/>
        </w:rPr>
        <w:t>Type: Project portfolio milestone. Points: 50. Submit a PDF or DOCX to Week 5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an </w:t>
      </w:r>
      <w:r>
        <w:rPr>
          <w:b/>
          <w:i w:val="0"/>
        </w:rPr>
        <w:t>Agent Capability Plan</w:t>
      </w:r>
      <w:r>
        <w:rPr>
          <w:b w:val="0"/>
          <w:i w:val="0"/>
        </w:rPr>
        <w:t xml:space="preserve"> to your project portfolio:</w:t>
      </w:r>
    </w:p>
    <w:p>
      <w:pPr>
        <w:pStyle w:val="ListNumber"/>
        <w:numPr>
          <w:ilvl w:val="0"/>
          <w:numId w:val="85"/>
        </w:numPr>
      </w:pPr>
      <w:r>
        <w:rPr>
          <w:b/>
          <w:i w:val="0"/>
        </w:rPr>
        <w:t>Chosen capability</w:t>
      </w:r>
      <w:r>
        <w:rPr>
          <w:b w:val="0"/>
          <w:i w:val="0"/>
        </w:rPr>
        <w:t>: The one action-taking capability from section 5.8 that you designed, stated clearly.</w:t>
      </w:r>
    </w:p>
    <w:p>
      <w:pPr>
        <w:pStyle w:val="ListNumber"/>
        <w:numPr>
          <w:ilvl w:val="0"/>
          <w:numId w:val="85"/>
        </w:numPr>
      </w:pPr>
      <w:r>
        <w:rPr>
          <w:b/>
          <w:i w:val="0"/>
        </w:rPr>
        <w:t>Human-in-the-loop placement</w:t>
      </w:r>
      <w:r>
        <w:rPr>
          <w:b w:val="0"/>
          <w:i w:val="0"/>
        </w:rPr>
        <w:t>: Where it sits on the spectrum, and your reasoning, grounded explicitly in cost and reversibility.</w:t>
      </w:r>
    </w:p>
    <w:p>
      <w:pPr>
        <w:pStyle w:val="ListNumber"/>
        <w:numPr>
          <w:ilvl w:val="0"/>
          <w:numId w:val="85"/>
        </w:numPr>
      </w:pPr>
      <w:r>
        <w:rPr>
          <w:b/>
          <w:i w:val="0"/>
        </w:rPr>
        <w:t>Tool specification</w:t>
      </w:r>
      <w:r>
        <w:rPr>
          <w:b w:val="0"/>
          <w:i w:val="0"/>
        </w:rPr>
        <w:t>: The narrowly scoped tool this capability would need, named and described the way you'd write it for a model to actually use correctly.</w:t>
      </w:r>
    </w:p>
    <w:p>
      <w:pPr>
        <w:pStyle w:val="ListNumber"/>
        <w:numPr>
          <w:ilvl w:val="0"/>
          <w:numId w:val="85"/>
        </w:numPr>
      </w:pPr>
      <w:r>
        <w:rPr>
          <w:b/>
          <w:i w:val="0"/>
        </w:rPr>
        <w:t>Risk and mitigation</w:t>
      </w:r>
      <w:r>
        <w:rPr>
          <w:b w:val="0"/>
          <w:i w:val="0"/>
        </w:rPr>
        <w:t>: One plausible failure mode (goal hijacking, a malformed input, an ambiguous instruction) and the specific safeguard, sandboxing, scoping, or a human checkpoint, that addresses it.</w:t>
      </w:r>
    </w:p>
    <w:p>
      <w:pPr>
        <w:pStyle w:val="Heading4"/>
      </w:pPr>
      <w:r>
        <w:rPr>
          <w:b w:val="0"/>
          <w:i w:val="0"/>
        </w:rPr>
        <w:t>What Makes a Strong Milestone</w:t>
      </w:r>
    </w:p>
    <w:p>
      <w:pPr/>
      <w:r>
        <w:rPr>
          <w:b w:val="0"/>
          <w:i w:val="0"/>
        </w:rPr>
        <w:t xml:space="preserve">A strong </w:t>
      </w:r>
      <w:r>
        <w:rPr>
          <w:b/>
          <w:i w:val="0"/>
        </w:rPr>
        <w:t>Agent Capability Plan</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Chosen capability</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Human-in-the-loop placement</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Tool specification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Risk and mitigation</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r>
        <w:br w:type="page"/>
      </w:r>
    </w:p>
    <w:p>
      <w:pPr>
        <w:pStyle w:val="Heading3"/>
      </w:pPr>
      <w:r>
        <w:rPr>
          <w:b w:val="0"/>
          <w:i w:val="0"/>
        </w:rPr>
        <w:t>Week 5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How Much Autonomy Should an AI Agent Have?</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Klarna Agent Case + Human-in-the-Loop Boundary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75</w:t>
            </w:r>
          </w:p>
        </w:tc>
      </w:tr>
      <w:tr>
        <w:trPr>
          <w:cantSplit/>
        </w:trPr>
        <w:tc>
          <w:tcPr>
            <w:tcW w:type="dxa" w:w="4450"/>
            <w:vAlign w:val="top"/>
            <w:shd w:fill="EAF2FA"/>
          </w:tcPr>
          <w:p>
            <w:pPr>
              <w:pStyle w:val="TableText"/>
            </w:pPr>
            <w:r>
              <w:rPr>
                <w:b w:val="0"/>
                <w:i w:val="0"/>
              </w:rPr>
              <w:t>Agent Capability Plan</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175</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Agent Capability Plan</w:t>
      </w:r>
      <w:r>
        <w:rPr>
          <w:b w:val="0"/>
          <w:i w:val="0"/>
        </w:rPr>
        <w:t xml:space="preserve"> becomes part 5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5 Module Guide</w:t>
    </w:r>
  </w:p>
  <w:p>
    <w:pPr>
      <w:pStyle w:val="Footer"/>
    </w:pPr>
    <w:r>
      <w:t>Agents — AI That Takes 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05-agents.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