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i w:val="0"/>
        </w:rPr>
        <w:t>GENERATIVE AI</w:t>
      </w:r>
    </w:p>
    <w:p>
      <w:pPr/>
      <w:r>
        <w:rPr>
          <w:b w:val="0"/>
          <w:i w:val="0"/>
        </w:rPr>
        <w:t>Graduate Course | First Open Edition</w:t>
      </w:r>
    </w:p>
    <w:p>
      <w:pPr>
        <w:pStyle w:val="Title"/>
      </w:pPr>
      <w:r>
        <w:rPr>
          <w:b w:val="0"/>
          <w:i w:val="0"/>
        </w:rPr>
        <w:t>Week 6 Module Guide</w:t>
      </w:r>
    </w:p>
    <w:p>
      <w:pPr>
        <w:pStyle w:val="Heading2"/>
      </w:pPr>
      <w:r>
        <w:rPr>
          <w:b w:val="0"/>
          <w:i w:val="0"/>
        </w:rPr>
        <w:t>Retrieval-Augmented Generation</w:t>
      </w:r>
    </w:p>
    <w:p>
      <w:pPr/>
      <w:r>
        <w:rPr>
          <w:b/>
          <w:i w:val="0"/>
        </w:rPr>
        <w:t>Chapter:</w:t>
      </w:r>
      <w:r>
        <w:rPr>
          <w:b w:val="0"/>
          <w:i w:val="0"/>
        </w:rPr>
        <w:t xml:space="preserve"> Chapter 6: Retrieval-Augmented Generation</w:t>
      </w:r>
    </w:p>
    <w:p>
      <w:pPr/>
      <w:r>
        <w:rPr>
          <w:b/>
          <w:i w:val="0"/>
        </w:rPr>
        <w:t>Project:</w:t>
      </w:r>
      <w:r>
        <w:rPr>
          <w:b w:val="0"/>
          <w:i w:val="0"/>
        </w:rPr>
        <w:t xml:space="preserve"> RAG Design Document</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6 Introduction &amp; Objectives</w:t>
      </w:r>
    </w:p>
    <w:p>
      <w:pPr>
        <w:pStyle w:val="Heading4"/>
      </w:pPr>
      <w:r>
        <w:rPr>
          <w:b w:val="0"/>
          <w:i w:val="0"/>
        </w:rPr>
        <w:t>Module Introduction</w:t>
      </w:r>
    </w:p>
    <w:p>
      <w:pPr/>
      <w:r>
        <w:rPr>
          <w:b w:val="0"/>
          <w:i w:val="0"/>
        </w:rPr>
        <w:t>Large Language Models possess impressive knowledge from their training data, but they face fundamental limits: a knowledge cutoff, no access to private or recent information, and a persistent tendency toward confident fabrication when they don't actually know something, the hallucination problem from Chapter 1. Retrieval-Augmented Generation, RAG, addresses these limits not by making the model smarter, but by giving it something to actually look at before it answers.</w:t>
      </w:r>
    </w:p>
    <w:p>
      <w:pPr/>
      <w:r>
        <w:rPr>
          <w:b w:val="0"/>
          <w:i w:val="0"/>
        </w:rPr>
        <w:t>RAG represents a shift from closed-book AI, answer from memory alone, to open-book AI, retrieve relevant information first, then answer grounded in what was found. This is essential for working with proprietary documents, staying current with information that changes faster than any training run, and producing responses a user can actually verify against a real source.</w:t>
      </w:r>
    </w:p>
    <w:p>
      <w:pPr/>
      <w:r>
        <w:rPr>
          <w:b w:val="0"/>
          <w:i w:val="0"/>
        </w:rPr>
        <w:t>In this chapter, you'll design the knowledge layer for your research assistant: how it would ingest documents, build a searchable knowledge base, and ground its responses in specific, retrievable sources, the architecture behind everything from customer support systems to legal research tools.</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Design a document-processing and chunking strategy for a specific knowledge source.</w:t>
            </w:r>
          </w:p>
        </w:tc>
        <w:tc>
          <w:tcPr>
            <w:tcW w:type="dxa" w:w="2280"/>
            <w:vAlign w:val="top"/>
            <w:shd w:fill="EAF2FA"/>
          </w:tcPr>
          <w:p>
            <w:pPr>
              <w:pStyle w:val="TableText"/>
            </w:pPr>
            <w:r>
              <w:rPr>
                <w:b w:val="0"/>
                <w:i w:val="0"/>
              </w:rPr>
              <w:t>CO 2 / PSLOs 2, 3</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Compare semantic, keyword, and hybrid retrieval against domain requirements.</w:t>
            </w:r>
          </w:p>
        </w:tc>
        <w:tc>
          <w:tcPr>
            <w:tcW w:type="dxa" w:w="2280"/>
            <w:vAlign w:val="top"/>
            <w:shd w:fill="F5F8FB"/>
          </w:tcPr>
          <w:p>
            <w:pPr>
              <w:pStyle w:val="TableText"/>
            </w:pPr>
            <w:r>
              <w:rPr>
                <w:b w:val="0"/>
                <w:i w:val="0"/>
              </w:rPr>
              <w:t>CO 2 / PSLOs 2, 3</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retrieval and generation failures separately.</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Critique research evidence for a chosen retrieval design.</w:t>
            </w:r>
          </w:p>
        </w:tc>
        <w:tc>
          <w:tcPr>
            <w:tcW w:type="dxa" w:w="2280"/>
            <w:vAlign w:val="top"/>
            <w:shd w:fill="F5F8FB"/>
          </w:tcPr>
          <w:p>
            <w:pPr>
              <w:pStyle w:val="TableText"/>
            </w:pPr>
            <w:r>
              <w:rPr>
                <w:b w:val="0"/>
                <w:i w:val="0"/>
              </w:rPr>
              <w:t>CO 5 / PSLOs 1, 4, 6</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Develop a worked retrieval-to-cited-answer example with explicit source boundaries.</w:t>
            </w:r>
          </w:p>
        </w:tc>
        <w:tc>
          <w:tcPr>
            <w:tcW w:type="dxa" w:w="2280"/>
            <w:vAlign w:val="top"/>
            <w:shd w:fill="EAF2FA"/>
          </w:tcPr>
          <w:p>
            <w:pPr>
              <w:pStyle w:val="TableText"/>
            </w:pPr>
            <w:r>
              <w:rPr>
                <w:b w:val="0"/>
                <w:i w:val="0"/>
              </w:rPr>
              <w:t>CO 2 / PSLOs 2, 3</w:t>
            </w:r>
          </w:p>
        </w:tc>
      </w:tr>
    </w:tbl>
    <w:p>
      <w:pPr>
        <w:pStyle w:val="Heading4"/>
      </w:pPr>
      <w:r>
        <w:rPr>
          <w:b w:val="0"/>
          <w:i w:val="0"/>
        </w:rPr>
        <w:t>Approved CO / PSLO Alignment</w:t>
      </w:r>
    </w:p>
    <w:p>
      <w:pPr/>
      <w:r>
        <w:rPr>
          <w:b w:val="0"/>
          <w:i w:val="0"/>
        </w:rPr>
        <w:t xml:space="preserve">This week emphasizes </w:t>
      </w:r>
      <w:r>
        <w:rPr>
          <w:b/>
          <w:i w:val="0"/>
        </w:rPr>
        <w:t>CO 2, CO 3, CO 5 / PSLOs 1, 2, 3, 4, 6</w:t>
      </w:r>
      <w:r>
        <w:rPr>
          <w:b w:val="0"/>
          <w:i w:val="0"/>
        </w:rPr>
        <w:t>. Each objective uses only the approved CO-to-PSLO mapping; a PSLO code indicates curricular alignment, not that this single week independently demonstrates the entire program outcome.</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6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6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6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RAG Design Document.</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0"/>
        </w:numPr>
      </w:pPr>
      <w:r>
        <w:rPr>
          <w:b w:val="0"/>
          <w:i w:val="0"/>
        </w:rPr>
        <w:t>Consult the due dates shown in Blackboard; the schedule above is not a deadline policy.</w:t>
      </w:r>
    </w:p>
    <w:p>
      <w:pPr>
        <w:pStyle w:val="ListBullet"/>
        <w:numPr>
          <w:ilvl w:val="0"/>
          <w:numId w:val="80"/>
        </w:numPr>
      </w:pPr>
      <w:r>
        <w:rPr>
          <w:b w:val="0"/>
          <w:i w:val="0"/>
        </w:rPr>
        <w:t>Keep one research-assistant domain and maintain a revision history for the same portfolio.</w:t>
      </w:r>
    </w:p>
    <w:p>
      <w:pPr>
        <w:pStyle w:val="ListBullet"/>
        <w:numPr>
          <w:ilvl w:val="0"/>
          <w:numId w:val="80"/>
        </w:numPr>
      </w:pPr>
      <w:r>
        <w:rPr>
          <w:b w:val="0"/>
          <w:i w:val="0"/>
        </w:rPr>
        <w:t>Cite sources for claims. Label measured results, scenario assumptions, and projected behavior distinctly.</w:t>
      </w:r>
    </w:p>
    <w:p>
      <w:pPr>
        <w:pStyle w:val="ListBullet"/>
        <w:numPr>
          <w:ilvl w:val="0"/>
          <w:numId w:val="80"/>
        </w:numPr>
      </w:pPr>
      <w:r>
        <w:rPr>
          <w:b w:val="0"/>
          <w:i w:val="0"/>
        </w:rPr>
        <w:t>Use public, synthetic, or appropriately authorized data. Keep credentials and private personal information out of submitted examples.</w:t>
      </w:r>
    </w:p>
    <w:p>
      <w:pPr>
        <w:pStyle w:val="ListBullet"/>
        <w:numPr>
          <w:ilvl w:val="0"/>
          <w:numId w:val="8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6: Retrieval-Augmented Generation</w:t>
      </w:r>
      <w:r>
        <w:rPr>
          <w:b w:val="0"/>
          <w:i w:val="0"/>
        </w:rPr>
        <w:t>.</w:t>
      </w:r>
    </w:p>
    <w:p>
      <w:pPr/>
      <w:hyperlink r:id="rId11">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How Glean Built Enterprise Search with RAG</w:t>
      </w:r>
      <w:r>
        <w:rPr>
          <w:b w:val="0"/>
          <w:i w:val="0"/>
        </w:rPr>
        <w:t xml:space="preserve">, the wrap-up, and </w:t>
      </w:r>
      <w:r>
        <w:rPr>
          <w:b/>
          <w:i w:val="0"/>
        </w:rPr>
        <w:t>Project Milestone: RAG Design Document</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6: RAG and Agents — RAG selections only</w:t>
      </w:r>
    </w:p>
    <w:p>
      <w:pPr/>
      <w:r>
        <w:rPr>
          <w:b w:val="0"/>
          <w:i w:val="0"/>
        </w:rPr>
        <w:t>Focus: RAG Architecture, Retrieval Algorithms, Retrieval Optimization, and RAG Beyond Texts.</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6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Lewis, P., et al. (2020). "Retrieval-Augmented Generation for Knowledge-Intensive NLP Tasks" — The paper that introduced the RAG approach this chapter is built around.</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6 Assignments</w:t>
      </w:r>
    </w:p>
    <w:p>
      <w:pPr/>
      <w:r>
        <w:rPr>
          <w:b w:val="0"/>
          <w:i w:val="0"/>
        </w:rPr>
        <w:t xml:space="preserve">The discussion develops a judgment about </w:t>
      </w:r>
      <w:r>
        <w:rPr>
          <w:b/>
          <w:i w:val="0"/>
        </w:rPr>
        <w:t>When Does RAG Increase Trust — and When Doesn't It</w:t>
      </w:r>
      <w:r>
        <w:rPr>
          <w:b w:val="0"/>
          <w:i w:val="0"/>
        </w:rPr>
        <w:t>. The applied work tests that judgment against How Glean Built Enterprise Search with RAG. The milestone carries the evidence into RAG Design Document.</w:t>
      </w:r>
    </w:p>
    <w:p>
      <w:pPr>
        <w:pStyle w:val="Heading3"/>
      </w:pPr>
      <w:r>
        <w:rPr>
          <w:b w:val="0"/>
          <w:i w:val="0"/>
        </w:rPr>
        <w:t>Assignment 1 — When Does RAG Increase Trust — and When Doesn't It?</w:t>
      </w:r>
    </w:p>
    <w:p>
      <w:pPr>
        <w:pStyle w:val="Submission"/>
        <w:ind w:left="144" w:right="144"/>
        <w:shd w:fill="EAF3E5"/>
      </w:pPr>
      <w:r>
        <w:rPr>
          <w:b w:val="0"/>
          <w:i w:val="0"/>
        </w:rPr>
        <w:t>Type: Discussion Board. Points: 50. Submit one initial post and two peer responses in the Week 6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Choose a question your model cannot answer reliably from training alone. Describe what evidence would make an answer supportable.</w:t>
      </w:r>
    </w:p>
    <w:p>
      <w:pPr/>
      <w:r>
        <w:rPr>
          <w:b/>
          <w:i w:val="0"/>
        </w:rPr>
        <w:t>Part B — Comparison:</w:t>
      </w:r>
      <w:r>
        <w:rPr>
          <w:b w:val="0"/>
          <w:i w:val="0"/>
        </w:rPr>
        <w:t xml:space="preserve"> Compare semantic, keyword, or hybrid retrieval for that question. Explain a case where the most relevant document must still be excluded.</w:t>
      </w:r>
    </w:p>
    <w:p>
      <w:pPr/>
      <w:r>
        <w:rPr>
          <w:b/>
          <w:i w:val="0"/>
        </w:rPr>
        <w:t>Part C — Judgment:</w:t>
      </w:r>
      <w:r>
        <w:rPr>
          <w:b w:val="0"/>
          <w:i w:val="0"/>
        </w:rPr>
        <w:t xml:space="preserve"> Decide when to answer, qualify, or abstain after retrieval. Name separate retrieval and generation checks.</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15</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10</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50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Retrieval Failure Analysis / Glean Case</w:t>
      </w:r>
    </w:p>
    <w:p>
      <w:pPr>
        <w:pStyle w:val="Submission"/>
        <w:ind w:left="144" w:right="144"/>
        <w:shd w:fill="EAF3E5"/>
      </w:pPr>
      <w:r>
        <w:rPr>
          <w:b w:val="0"/>
          <w:i w:val="0"/>
        </w:rPr>
        <w:t>Type: Applied analysis. Points: 75. Submit one PDF or DOCX to Week 6 Assignment 2. Aim for 600–800 words of analysis plus the requested matrix, diagram, prompts, or evidence appendix; these artifacts are not included in the word guide.</w:t>
      </w:r>
    </w:p>
    <w:p>
      <w:pPr/>
      <w:r>
        <w:rPr>
          <w:b w:val="0"/>
          <w:i w:val="0"/>
        </w:rPr>
        <w:t xml:space="preserve">Use </w:t>
      </w:r>
      <w:r>
        <w:rPr>
          <w:b/>
          <w:i w:val="0"/>
        </w:rPr>
        <w:t>How Glean Built Enterprise Search with RAG</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81"/>
        </w:numPr>
      </w:pPr>
      <w:r>
        <w:rPr>
          <w:b w:val="0"/>
          <w:i w:val="0"/>
        </w:rPr>
        <w:t>Use the Glean case to sketch permission-aware enterprise retrieval. Make clear where access checks occur before generation.</w:t>
      </w:r>
    </w:p>
    <w:p>
      <w:pPr>
        <w:pStyle w:val="ListNumber"/>
        <w:numPr>
          <w:ilvl w:val="0"/>
          <w:numId w:val="82"/>
        </w:numPr>
      </w:pPr>
      <w:r>
        <w:rPr>
          <w:b w:val="0"/>
          <w:i w:val="0"/>
        </w:rPr>
        <w:t>Create three small document excerpts and two user roles with different permissions. Walk through one query where the most similar passage is not authorized for the requester.</w:t>
      </w:r>
    </w:p>
    <w:p>
      <w:pPr>
        <w:pStyle w:val="ListNumber"/>
        <w:numPr>
          <w:ilvl w:val="0"/>
          <w:numId w:val="83"/>
        </w:numPr>
      </w:pPr>
      <w:r>
        <w:rPr>
          <w:b w:val="0"/>
          <w:i w:val="0"/>
        </w:rPr>
        <w:t>Compare a retrieval failure with a generation failure using the same query. Propose a chunking or retrieval repair and a separate response-grounding repair.</w:t>
      </w:r>
    </w:p>
    <w:p>
      <w:pPr>
        <w:pStyle w:val="ListNumber"/>
        <w:numPr>
          <w:ilvl w:val="0"/>
          <w:numId w:val="84"/>
        </w:numPr>
      </w:pPr>
      <w:r>
        <w:rPr>
          <w:b w:val="0"/>
          <w:i w:val="0"/>
        </w:rPr>
        <w:t>Design a two-part evaluation: retrieval relevance/access correctness and answer support by cited evidence. Explain what a fluent but unsupported answer should score.</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25</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15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75</w:t>
            </w:r>
          </w:p>
        </w:tc>
      </w:tr>
    </w:tbl>
    <w:p>
      <w:r>
        <w:br w:type="page"/>
      </w:r>
    </w:p>
    <w:p>
      <w:pPr>
        <w:pStyle w:val="Heading3"/>
      </w:pPr>
      <w:r>
        <w:rPr>
          <w:b w:val="0"/>
          <w:i w:val="0"/>
        </w:rPr>
        <w:t>Assignment 3 — Research Assistant Milestone 6: RAG Design Document</w:t>
      </w:r>
    </w:p>
    <w:p>
      <w:pPr>
        <w:pStyle w:val="Submission"/>
        <w:ind w:left="144" w:right="144"/>
        <w:shd w:fill="EAF3E5"/>
      </w:pPr>
      <w:r>
        <w:rPr>
          <w:b w:val="0"/>
          <w:i w:val="0"/>
        </w:rPr>
        <w:t>Type: Project portfolio milestone. Points: 50. Submit a PDF or DOCX to Week 6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 </w:t>
      </w:r>
      <w:r>
        <w:rPr>
          <w:b/>
          <w:i w:val="0"/>
        </w:rPr>
        <w:t>RAG Design Document</w:t>
      </w:r>
      <w:r>
        <w:rPr>
          <w:b w:val="0"/>
          <w:i w:val="0"/>
        </w:rPr>
        <w:t xml:space="preserve"> to your project portfolio:</w:t>
      </w:r>
    </w:p>
    <w:p>
      <w:pPr>
        <w:pStyle w:val="ListNumber"/>
        <w:numPr>
          <w:ilvl w:val="0"/>
          <w:numId w:val="85"/>
        </w:numPr>
      </w:pPr>
      <w:r>
        <w:rPr>
          <w:b/>
          <w:i w:val="0"/>
        </w:rPr>
        <w:t>Knowledge source</w:t>
      </w:r>
      <w:r>
        <w:rPr>
          <w:b w:val="0"/>
          <w:i w:val="0"/>
        </w:rPr>
        <w:t>: The specific documents or data your assistant would retrieve from.</w:t>
      </w:r>
    </w:p>
    <w:p>
      <w:pPr>
        <w:pStyle w:val="ListNumber"/>
        <w:numPr>
          <w:ilvl w:val="0"/>
          <w:numId w:val="85"/>
        </w:numPr>
      </w:pPr>
      <w:r>
        <w:rPr>
          <w:b/>
          <w:i w:val="0"/>
        </w:rPr>
        <w:t>Chunking strategy</w:t>
      </w:r>
      <w:r>
        <w:rPr>
          <w:b w:val="0"/>
          <w:i w:val="0"/>
        </w:rPr>
        <w:t>: Your approach and reasoning, per section 6.3.</w:t>
      </w:r>
    </w:p>
    <w:p>
      <w:pPr>
        <w:pStyle w:val="ListNumber"/>
        <w:numPr>
          <w:ilvl w:val="0"/>
          <w:numId w:val="85"/>
        </w:numPr>
      </w:pPr>
      <w:r>
        <w:rPr>
          <w:b/>
          <w:i w:val="0"/>
        </w:rPr>
        <w:t>Retrieval approach</w:t>
      </w:r>
      <w:r>
        <w:rPr>
          <w:b w:val="0"/>
          <w:i w:val="0"/>
        </w:rPr>
        <w:t>: Semantic, hybrid, or otherwise, justified for your domain.</w:t>
      </w:r>
    </w:p>
    <w:p>
      <w:pPr>
        <w:pStyle w:val="ListNumber"/>
        <w:numPr>
          <w:ilvl w:val="0"/>
          <w:numId w:val="85"/>
        </w:numPr>
      </w:pPr>
      <w:r>
        <w:rPr>
          <w:b/>
          <w:i w:val="0"/>
        </w:rPr>
        <w:t>Worked example</w:t>
      </w:r>
      <w:r>
        <w:rPr>
          <w:b w:val="0"/>
          <w:i w:val="0"/>
        </w:rPr>
        <w:t>: One realistic query, walked through end to end, from retrieval through a grounded, cited response.</w:t>
      </w:r>
    </w:p>
    <w:p>
      <w:pPr>
        <w:pStyle w:val="Heading4"/>
      </w:pPr>
      <w:r>
        <w:rPr>
          <w:b w:val="0"/>
          <w:i w:val="0"/>
        </w:rPr>
        <w:t>What Makes a Strong Milestone</w:t>
      </w:r>
    </w:p>
    <w:p>
      <w:pPr/>
      <w:r>
        <w:rPr>
          <w:b w:val="0"/>
          <w:i w:val="0"/>
        </w:rPr>
        <w:t xml:space="preserve">A strong </w:t>
      </w:r>
      <w:r>
        <w:rPr>
          <w:b/>
          <w:i w:val="0"/>
        </w:rPr>
        <w:t>RAG Design Document</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Knowledge source</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Chunking strategy</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Retrieval approach</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Worked example</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50</w:t>
            </w:r>
          </w:p>
        </w:tc>
      </w:tr>
    </w:tbl>
    <w:p>
      <w:r>
        <w:br w:type="page"/>
      </w:r>
    </w:p>
    <w:p>
      <w:pPr>
        <w:pStyle w:val="Heading3"/>
      </w:pPr>
      <w:r>
        <w:rPr>
          <w:b w:val="0"/>
          <w:i w:val="0"/>
        </w:rPr>
        <w:t>Week 6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When Does RAG Increase Trust — and When Doesn't It?</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50</w:t>
            </w:r>
          </w:p>
        </w:tc>
      </w:tr>
      <w:tr>
        <w:trPr>
          <w:cantSplit/>
        </w:trPr>
        <w:tc>
          <w:tcPr>
            <w:tcW w:type="dxa" w:w="4450"/>
            <w:vAlign w:val="top"/>
            <w:shd w:fill="F5F8FB"/>
          </w:tcPr>
          <w:p>
            <w:pPr>
              <w:pStyle w:val="TableText"/>
            </w:pPr>
            <w:r>
              <w:rPr>
                <w:b w:val="0"/>
                <w:i w:val="0"/>
              </w:rPr>
              <w:t>Retrieval Failure Analysis / Glean Case</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75</w:t>
            </w:r>
          </w:p>
        </w:tc>
      </w:tr>
      <w:tr>
        <w:trPr>
          <w:cantSplit/>
        </w:trPr>
        <w:tc>
          <w:tcPr>
            <w:tcW w:type="dxa" w:w="4450"/>
            <w:vAlign w:val="top"/>
            <w:shd w:fill="EAF2FA"/>
          </w:tcPr>
          <w:p>
            <w:pPr>
              <w:pStyle w:val="TableText"/>
            </w:pPr>
            <w:r>
              <w:rPr>
                <w:b w:val="0"/>
                <w:i w:val="0"/>
              </w:rPr>
              <w:t>RAG Design Document</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50</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175</w:t>
            </w:r>
          </w:p>
        </w:tc>
      </w:tr>
    </w:tbl>
    <w:p>
      <w:pPr>
        <w:pStyle w:val="Heading4"/>
      </w:pPr>
      <w:r>
        <w:rPr>
          <w:b w:val="0"/>
          <w:i w:val="0"/>
        </w:rPr>
        <w:t>Before You Submit</w:t>
      </w:r>
    </w:p>
    <w:p>
      <w:pPr>
        <w:pStyle w:val="ListBullet"/>
        <w:numPr>
          <w:ilvl w:val="0"/>
          <w:numId w:val="86"/>
        </w:numPr>
      </w:pPr>
      <w:r>
        <w:rPr>
          <w:b w:val="0"/>
          <w:i w:val="0"/>
        </w:rPr>
        <w:t>Check that each required prompt component is visibly addressed, using descriptive headings.</w:t>
      </w:r>
    </w:p>
    <w:p>
      <w:pPr>
        <w:pStyle w:val="ListBullet"/>
        <w:numPr>
          <w:ilvl w:val="0"/>
          <w:numId w:val="86"/>
        </w:numPr>
      </w:pPr>
      <w:r>
        <w:rPr>
          <w:b w:val="0"/>
          <w:i w:val="0"/>
        </w:rPr>
        <w:t>Match the discussion claim to the analysis evidence and the portfolio decision. Explain a disagreement rather than hiding it.</w:t>
      </w:r>
    </w:p>
    <w:p>
      <w:pPr>
        <w:pStyle w:val="ListBullet"/>
        <w:numPr>
          <w:ilvl w:val="0"/>
          <w:numId w:val="86"/>
        </w:numPr>
      </w:pPr>
      <w:r>
        <w:rPr>
          <w:b w:val="0"/>
          <w:i w:val="0"/>
        </w:rPr>
        <w:t>Keep references traceable: name the chapter or section, identify external sources, and date time-sensitive evidence.</w:t>
      </w:r>
    </w:p>
    <w:p>
      <w:pPr>
        <w:pStyle w:val="ListBullet"/>
        <w:numPr>
          <w:ilvl w:val="0"/>
          <w:numId w:val="86"/>
        </w:numPr>
      </w:pPr>
      <w:r>
        <w:rPr>
          <w:b w:val="0"/>
          <w:i w:val="0"/>
        </w:rPr>
        <w:t>Confirm that diagrams and tables are readable and that the submitted files open normally.</w:t>
      </w:r>
    </w:p>
    <w:p>
      <w:pPr>
        <w:pStyle w:val="ListBullet"/>
        <w:numPr>
          <w:ilvl w:val="0"/>
          <w:numId w:val="86"/>
        </w:numPr>
      </w:pPr>
      <w:r>
        <w:rPr>
          <w:b w:val="0"/>
          <w:i w:val="0"/>
        </w:rPr>
        <w:t>Label assumptions, illustrative examples, measured observations, and projections consistently.</w:t>
      </w:r>
    </w:p>
    <w:p>
      <w:pPr>
        <w:pStyle w:val="ListBullet"/>
        <w:numPr>
          <w:ilvl w:val="0"/>
          <w:numId w:val="8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RAG Design Document</w:t>
      </w:r>
      <w:r>
        <w:rPr>
          <w:b w:val="0"/>
          <w:i w:val="0"/>
        </w:rPr>
        <w:t xml:space="preserve"> becomes part 6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sectPr w:rsidR="00FC693F" w:rsidRPr="0006063C" w:rsidSect="00034616">
      <w:footerReference w:type="default" r:id="rId9"/>
      <w:headerReference w:type="default" r:id="rId10"/>
      <w:pgSz w:w="12240" w:h="15840"/>
      <w:pgMar w:top="1080" w:right="1080" w:bottom="1080" w:left="1080" w:header="432" w:footer="461"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6 Module Guide</w:t>
    </w:r>
  </w:p>
  <w:p>
    <w:pPr>
      <w:pStyle w:val="Footer"/>
    </w:pPr>
    <w:r>
      <w:t>Retrieval-Augmented Generation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suff w:val="space"/>
      <w:lvlJc w:val="left"/>
      <w:pPr>
        <w:tabs>
          <w:tab w:val="num" w:pos="360"/>
        </w:tabs>
        <w:ind w:left="360" w:hanging="180"/>
      </w:pPr>
    </w:lvl>
  </w:abstractNum>
  <w:abstractNum w:abstractNumId="71">
    <w:multiLevelType w:val="singleLevel"/>
    <w:lvl w:ilvl="0">
      <w:start w:val="1"/>
      <w:numFmt w:val="decimal"/>
      <w:lvlText w:val="%1."/>
      <w:suff w:val="space"/>
      <w:lvlJc w:val="left"/>
      <w:pPr>
        <w:tabs>
          <w:tab w:val="num" w:pos="360"/>
        </w:tabs>
        <w:ind w:left="360" w:hanging="180"/>
      </w:pPr>
    </w:lvl>
  </w:abstractNum>
  <w:num w:numId="80">
    <w:abstractNumId w:val="70"/>
    <w:lvlOverride w:ilvl="0">
      <w:startOverride w:val="1"/>
    </w:lvlOverride>
  </w:num>
  <w:num w:numId="81">
    <w:abstractNumId w:val="71"/>
    <w:lvlOverride w:ilvl="0">
      <w:startOverride w:val="1"/>
    </w:lvlOverride>
  </w:num>
  <w:num w:numId="82">
    <w:abstractNumId w:val="71"/>
    <w:lvlOverride w:ilvl="0">
      <w:startOverride w:val="2"/>
    </w:lvlOverride>
  </w:num>
  <w:num w:numId="83">
    <w:abstractNumId w:val="71"/>
    <w:lvlOverride w:ilvl="0">
      <w:startOverride w:val="3"/>
    </w:lvlOverride>
  </w:num>
  <w:num w:numId="84">
    <w:abstractNumId w:val="71"/>
    <w:lvlOverride w:ilvl="0">
      <w:startOverride w:val="4"/>
    </w:lvlOverride>
  </w:num>
  <w:num w:numId="85">
    <w:abstractNumId w:val="71"/>
    <w:lvlOverride w:ilvl="0">
      <w:startOverride w:val="1"/>
    </w:lvlOverride>
  </w:num>
  <w:num w:numId="86">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b w:val="0"/>
      <w:color w:val="202B38"/>
      <w:sz w:val="21"/>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203864"/>
      <w:sz w:val="16"/>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20" w:line="259" w:lineRule="auto"/>
      <w:outlineLvl w:val="0"/>
    </w:pPr>
    <w:rPr>
      <w:rFonts w:asciiTheme="majorHAnsi" w:eastAsiaTheme="majorEastAsia" w:hAnsiTheme="majorHAnsi" w:cstheme="majorBidi" w:ascii="Arial" w:hAnsi="Arial"/>
      <w:b/>
      <w:bCs/>
      <w:color w:val="203864"/>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widowControl/>
      <w:spacing w:before="160" w:after="120" w:line="259" w:lineRule="auto"/>
      <w:outlineLvl w:val="1"/>
    </w:pPr>
    <w:rPr>
      <w:rFonts w:asciiTheme="majorHAnsi" w:eastAsiaTheme="majorEastAsia" w:hAnsiTheme="majorHAnsi" w:cstheme="majorBidi" w:ascii="Arial" w:hAnsi="Arial"/>
      <w:b/>
      <w:bCs/>
      <w:color w:val="2F65A0"/>
      <w:sz w:val="28"/>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widowControl/>
      <w:spacing w:before="160" w:after="120" w:line="259" w:lineRule="auto"/>
      <w:outlineLvl w:val="2"/>
    </w:pPr>
    <w:rPr>
      <w:rFonts w:asciiTheme="majorHAnsi" w:eastAsiaTheme="majorEastAsia" w:hAnsiTheme="majorHAnsi" w:cstheme="majorBidi" w:ascii="Arial" w:hAnsi="Arial"/>
      <w:b/>
      <w:bCs/>
      <w:color w:val="2F65A0"/>
      <w:sz w:val="24"/>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widowControl/>
      <w:spacing w:before="160" w:after="120" w:line="259" w:lineRule="auto"/>
      <w:outlineLvl w:val="3"/>
    </w:pPr>
    <w:rPr>
      <w:rFonts w:asciiTheme="majorHAnsi" w:eastAsiaTheme="majorEastAsia" w:hAnsiTheme="majorHAnsi" w:cstheme="majorBidi" w:ascii="Arial" w:hAnsi="Arial"/>
      <w:b/>
      <w:bCs/>
      <w:i/>
      <w:iCs/>
      <w:color w:val="2F65A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9" w:lineRule="auto" w:before="0"/>
      <w:contextualSpacing/>
    </w:pPr>
    <w:rPr>
      <w:rFonts w:asciiTheme="majorHAnsi" w:eastAsiaTheme="majorEastAsia" w:hAnsiTheme="majorHAnsi" w:cstheme="majorBidi" w:ascii="Arial" w:hAnsi="Arial"/>
      <w:b/>
      <w:color w:val="203864"/>
      <w:spacing w:val="5"/>
      <w:kern w:val="28"/>
      <w:sz w:val="44"/>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59" w:lineRule="auto"/>
    </w:pPr>
    <w:rPr>
      <w:rFonts w:asciiTheme="majorHAnsi" w:eastAsiaTheme="majorEastAsia" w:hAnsiTheme="majorHAnsi" w:cstheme="majorBidi" w:ascii="Arial" w:hAnsi="Arial"/>
      <w:b w:val="0"/>
      <w:i/>
      <w:iCs/>
      <w:color w:val="202B38"/>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Arial" w:hAnsi="Arial"/>
      <w:b w:val="0"/>
      <w:color w:val="202B38"/>
      <w:sz w:val="21"/>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Arial" w:hAnsi="Arial"/>
      <w:b w:val="0"/>
      <w:color w:val="202B38"/>
      <w:sz w:val="21"/>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00" w:line="259" w:lineRule="auto"/>
    </w:pPr>
    <w:rPr>
      <w:rFonts w:ascii="Arial" w:hAnsi="Arial"/>
      <w:b/>
      <w:color w:val="2F65A0"/>
      <w:sz w:val="22"/>
      <w:rFonts w:ascii="Arial" w:hAnsi="Arial" w:eastAsia="Arial" w:cs="Arial"/>
    </w:rPr>
  </w:style>
  <w:style w:type="paragraph" w:customStyle="1" w:styleId="SectionBand">
    <w:name w:val="Section Band"/>
    <w:pPr>
      <w:widowControl/>
      <w:spacing w:before="140" w:after="120" w:line="259" w:lineRule="auto"/>
    </w:pPr>
    <w:rPr>
      <w:rFonts w:ascii="Arial" w:hAnsi="Arial"/>
      <w:b/>
      <w:color w:val="203864"/>
      <w:sz w:val="20"/>
      <w:rFonts w:ascii="Arial" w:hAnsi="Arial" w:eastAsia="Arial" w:cs="Arial"/>
    </w:rPr>
  </w:style>
  <w:style w:type="paragraph" w:customStyle="1" w:styleId="TableText">
    <w:name w:val="Table Text"/>
    <w:pPr>
      <w:widowControl/>
      <w:spacing w:before="0" w:after="60" w:line="259" w:lineRule="auto"/>
    </w:pPr>
    <w:rPr>
      <w:rFonts w:ascii="Arial" w:hAnsi="Arial"/>
      <w:b w:val="0"/>
      <w:color w:val="202B38"/>
      <w:sz w:val="19"/>
      <w:rFonts w:ascii="Arial" w:hAnsi="Arial" w:eastAsia="Arial" w:cs="Arial"/>
    </w:rPr>
  </w:style>
  <w:style w:type="paragraph" w:customStyle="1" w:styleId="Guidance">
    <w:name w:val="Guidance"/>
    <w:pPr>
      <w:keepLines/>
      <w:widowControl/>
      <w:spacing w:before="100" w:after="160" w:line="259" w:lineRule="auto"/>
    </w:pPr>
    <w:rPr>
      <w:rFonts w:ascii="Arial" w:hAnsi="Arial"/>
      <w:b w:val="0"/>
      <w:color w:val="202B38"/>
      <w:sz w:val="19"/>
      <w:rFonts w:ascii="Arial" w:hAnsi="Arial" w:eastAsia="Arial" w:cs="Arial"/>
    </w:rPr>
  </w:style>
  <w:style w:type="paragraph" w:customStyle="1" w:styleId="Submission">
    <w:name w:val="Submission"/>
    <w:pPr>
      <w:keepLines/>
      <w:widowControl/>
      <w:spacing w:before="100" w:after="160" w:line="259" w:lineRule="auto"/>
    </w:pPr>
    <w:rPr>
      <w:rFonts w:ascii="Arial" w:hAnsi="Arial"/>
      <w:b w:val="0"/>
      <w:color w:val="202B38"/>
      <w:sz w:val="20"/>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proff-amakobe.github.io/oer-books/Generative-AI/original/06-rag.html" TargetMode="External"/><Relationship Id="rId12" Type="http://schemas.openxmlformats.org/officeDocument/2006/relationships/hyperlink" Target="https://www.oreilly.com/library/view/ai-engineering/9781098166298/" TargetMode="External"/><Relationship Id="rId13" Type="http://schemas.openxmlformats.org/officeDocument/2006/relationships/hyperlink" Target="https://github.com/chiphuyen/aie-book/blob/main/To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Blackboard Module Guides</dc:title>
  <dc:subject>Graduate course | First Open Edition</dc:subject>
  <dc:creator>Moody Amakobe</dc:creator>
  <cp:keywords>Generative AI, Blackboard, weekly module guides</cp:keywords>
  <dc:description>generated by python-docx</dc:description>
  <cp:lastModifiedBy/>
  <cp:revision>1</cp:revision>
  <dcterms:created xsi:type="dcterms:W3CDTF">2013-12-23T23:15:00Z</dcterms:created>
  <dcterms:modified xsi:type="dcterms:W3CDTF">2013-12-23T23:15:00Z</dcterms:modified>
  <cp:category/>
</cp:coreProperties>
</file>