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14 Module Guide</w:t>
      </w:r>
    </w:p>
    <w:p>
      <w:pPr>
        <w:pStyle w:val="Heading2"/>
      </w:pPr>
      <w:r>
        <w:rPr>
          <w:b w:val="0"/>
          <w:i w:val="0"/>
        </w:rPr>
        <w:t>Law, Policy, and Governance of AI</w:t>
      </w:r>
    </w:p>
    <w:p>
      <w:pPr/>
      <w:r>
        <w:rPr>
          <w:b/>
          <w:i w:val="0"/>
        </w:rPr>
        <w:t>Chapter:</w:t>
      </w:r>
      <w:r>
        <w:rPr>
          <w:b w:val="0"/>
          <w:i w:val="0"/>
        </w:rPr>
        <w:t xml:space="preserve"> Chapter 14: Law, Policy, and Governance of AI</w:t>
      </w:r>
    </w:p>
    <w:p>
      <w:pPr/>
      <w:r>
        <w:rPr>
          <w:b/>
          <w:i w:val="0"/>
        </w:rPr>
        <w:t>Project:</w:t>
      </w:r>
      <w:r>
        <w:rPr>
          <w:b w:val="0"/>
          <w:i w:val="0"/>
        </w:rPr>
        <w:t xml:space="preserve"> Compliance Checklist</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14 Introduction &amp; Objectives</w:t>
      </w:r>
    </w:p>
    <w:p>
      <w:pPr>
        <w:pStyle w:val="Heading4"/>
      </w:pPr>
      <w:r>
        <w:rPr>
          <w:b w:val="0"/>
          <w:i w:val="0"/>
        </w:rPr>
        <w:t>Module Introduction</w:t>
      </w:r>
    </w:p>
    <w:p>
      <w:pPr/>
      <w:r>
        <w:rPr>
          <w:b w:val="0"/>
          <w:i w:val="0"/>
        </w:rPr>
        <w:t>Your assistant works well, tests cleanly, and passes its Chapter 13 ethics review. Is it legal to deploy? That's a genuinely different question, and one this book has deliberately saved for its own chapter rather than folding it into Chapter 13's ethics discussion, because "ethical" and "compliant" are related but not identical, a system can be one without being the other, and a practitioner needs to be able to reason about both.</w:t>
      </w:r>
    </w:p>
    <w:p>
      <w:pPr/>
      <w:r>
        <w:rPr>
          <w:b w:val="0"/>
          <w:i w:val="0"/>
        </w:rPr>
        <w:t>This chapter covers the legal and regulatory landscape a real AI deployment has to navigate: the emerging body of AI-specific regulation, the older bodies of law (copyright, liability) that AI has forced into new and unsettled territory, and the organizational governance structures that turn legal obligations into actual practice. None of this is settled law in the way, say, contract law is settled; you're studying a genuinely moving target, which is exactly why this chapter emphasizes the shape of the landscape and how to navigate it, rather than a fixed set of rules to memorize.</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legal, ethical, and governance questions as related but distinct.</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which regulatory frameworks plausibly apply to a defined deployment.</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Critique official-source evidence and identify genuine regulatory uncertainty.</w:t>
            </w:r>
          </w:p>
        </w:tc>
        <w:tc>
          <w:tcPr>
            <w:tcW w:type="dxa" w:w="2280"/>
            <w:vAlign w:val="top"/>
            <w:shd w:fill="EAF2FA"/>
          </w:tcPr>
          <w:p>
            <w:pPr>
              <w:pStyle w:val="TableText"/>
            </w:pPr>
            <w:r>
              <w:rPr>
                <w:b w:val="0"/>
                <w:i w:val="0"/>
              </w:rPr>
              <w:t>CO 5 / PSLOs 1, 4, 6</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governance response connecting copyright, liability, and verification.</w:t>
            </w:r>
          </w:p>
        </w:tc>
        <w:tc>
          <w:tcPr>
            <w:tcW w:type="dxa" w:w="2280"/>
            <w:vAlign w:val="top"/>
            <w:shd w:fill="F5F8FB"/>
          </w:tcPr>
          <w:p>
            <w:pPr>
              <w:pStyle w:val="TableText"/>
            </w:pPr>
            <w:r>
              <w:rPr>
                <w:b w:val="0"/>
                <w:i w:val="0"/>
              </w:rPr>
              <w:t>CO 4 / PSLOs 5</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compliance checklist with explicit limits and review needs.</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4, CO 5 / PSLOs 1, 4, 5, 6</w:t>
      </w:r>
      <w:r>
        <w:rPr>
          <w:b w:val="0"/>
          <w:i w:val="0"/>
        </w:rPr>
        <w:t>. Each objective uses only the approved CO-to-PSLO mapping; a PSLO code indicates curricular alignment, not that this single week independently demonstrates the entire program outcome.</w:t>
      </w:r>
    </w:p>
    <w:p>
      <w:pPr/>
      <w:r>
        <w:rPr>
          <w:b/>
          <w:i w:val="0"/>
        </w:rPr>
        <w:t>CO 4:</w:t>
      </w:r>
      <w:r>
        <w:rPr>
          <w:b w:val="0"/>
          <w:i w:val="0"/>
        </w:rPr>
        <w:t xml:space="preserve"> Assess ethical, societal, legal, and security considerations associated with the development and deployment of generative artificial intelligence systems.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14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14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14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Compliance Checklist.</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14: Law, Policy, and Governance of AI</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A Legal Research Assistant at 50,000 Documents</w:t>
      </w:r>
      <w:r>
        <w:rPr>
          <w:b w:val="0"/>
          <w:i w:val="0"/>
        </w:rPr>
        <w:t xml:space="preserve">, the wrap-up, and </w:t>
      </w:r>
      <w:r>
        <w:rPr>
          <w:b/>
          <w:i w:val="0"/>
        </w:rPr>
        <w:t>Project Milestone: Compliance Checklist</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Optional Companion Reading</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Optional: Chapter 10 governance-related engineering context</w:t>
      </w:r>
    </w:p>
    <w:p>
      <w:pPr/>
      <w:r>
        <w:rPr>
          <w:b w:val="0"/>
          <w:i w:val="0"/>
        </w:rPr>
        <w:t>Focus: No required Huyen reading this week. The companion does not provide a full AI-law treatment; prioritize Chapter 14 and official sources.</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14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The current text of the EU AI Act (search for the official European Commission source, this is exactly the kind of regulation worth reading directly rather than through a secondary summary, given how consequential its risk-tier definitions are).</w:t>
      </w:r>
    </w:p>
    <w:p>
      <w:pPr/>
      <w:r>
        <w:rPr>
          <w:b w:val="0"/>
          <w:i w:val="0"/>
        </w:rPr>
        <w:t xml:space="preserve">Official source named by the author: </w:t>
      </w:r>
      <w:hyperlink r:id="rId14">
        <w:r>
          <w:rPr>
            <w:color w:val="2F65A0"/>
            <w:u w:val="single"/>
          </w:rPr>
          <w:t>European Commission — AI Act</w:t>
        </w:r>
      </w:hyperlink>
      <w:r>
        <w:rPr>
          <w:b w:val="0"/>
          <w:i w:val="0"/>
        </w:rPr>
        <w:t>. Follow its official legal-text links and record the access date, jurisdiction, and applicability assumptions. Distinguish legal text from commentary; identify uncertainty rather than offering legal advice.</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14 Assignments</w:t>
      </w:r>
    </w:p>
    <w:p>
      <w:pPr/>
      <w:r>
        <w:rPr>
          <w:b w:val="0"/>
          <w:i w:val="0"/>
        </w:rPr>
        <w:t xml:space="preserve">The discussion develops a judgment about </w:t>
      </w:r>
      <w:r>
        <w:rPr>
          <w:b/>
          <w:i w:val="0"/>
        </w:rPr>
        <w:t>Ethical Is Not the Same as Legal — Why Does That Matter</w:t>
      </w:r>
      <w:r>
        <w:rPr>
          <w:b w:val="0"/>
          <w:i w:val="0"/>
        </w:rPr>
        <w:t>. The applied work tests that judgment against A Legal Research Assistant at 50,000 Documents. The milestone carries the evidence into Compliance Checklist.</w:t>
      </w:r>
    </w:p>
    <w:p>
      <w:pPr>
        <w:pStyle w:val="Heading3"/>
      </w:pPr>
      <w:r>
        <w:rPr>
          <w:b w:val="0"/>
          <w:i w:val="0"/>
        </w:rPr>
        <w:t>Assignment 1 — Ethical Is Not the Same as Legal — Why Does That Matter?</w:t>
      </w:r>
    </w:p>
    <w:p>
      <w:pPr>
        <w:pStyle w:val="Submission"/>
        <w:ind w:left="144" w:right="144"/>
        <w:shd w:fill="EAF3E5"/>
      </w:pPr>
      <w:r>
        <w:rPr>
          <w:b w:val="0"/>
          <w:i w:val="0"/>
        </w:rPr>
        <w:t>Type: Discussion Board. Points: 50. Submit one initial post and two peer responses in the Week 14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Describe a deployment context and jurisdiction in which ethical approval alone would not establish legal readiness.</w:t>
      </w:r>
    </w:p>
    <w:p>
      <w:pPr/>
      <w:r>
        <w:rPr>
          <w:b/>
          <w:i w:val="0"/>
        </w:rPr>
        <w:t>Part B — Comparison:</w:t>
      </w:r>
      <w:r>
        <w:rPr>
          <w:b w:val="0"/>
          <w:i w:val="0"/>
        </w:rPr>
        <w:t xml:space="preserve"> Distinguish an applicable obligation, a plausible but uncertain obligation, and a framework that does not apply; support the distinction with an official source.</w:t>
      </w:r>
    </w:p>
    <w:p>
      <w:pPr/>
      <w:r>
        <w:rPr>
          <w:b/>
          <w:i w:val="0"/>
        </w:rPr>
        <w:t>Part C — Judgment:</w:t>
      </w:r>
      <w:r>
        <w:rPr>
          <w:b w:val="0"/>
          <w:i w:val="0"/>
        </w:rPr>
        <w:t xml:space="preserve"> Recommend a governance action and identify a question requiring qualified review instead of asserting legal certainty.</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10</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Legal Research Assistant + Compliance/Governance Analysis</w:t>
      </w:r>
    </w:p>
    <w:p>
      <w:pPr>
        <w:pStyle w:val="Submission"/>
        <w:ind w:left="144" w:right="144"/>
        <w:shd w:fill="EAF3E5"/>
      </w:pPr>
      <w:r>
        <w:rPr>
          <w:b w:val="0"/>
          <w:i w:val="0"/>
        </w:rPr>
        <w:t>Type: Applied analysis. Points: 75. Submit one PDF or DOCX to Week 14 Assignment 2. Aim for 600–800 words of analysis plus the requested matrix, diagram, prompts, or evidence appendix; these artifacts are not included in the word guide.</w:t>
      </w:r>
    </w:p>
    <w:p>
      <w:pPr/>
      <w:r>
        <w:rPr>
          <w:b w:val="0"/>
          <w:i w:val="0"/>
        </w:rPr>
        <w:t xml:space="preserve">Use </w:t>
      </w:r>
      <w:r>
        <w:rPr>
          <w:b/>
          <w:i w:val="0"/>
        </w:rPr>
        <w:t>A Legal Research Assistant at 50,000 Documents</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A Legal Research Assistant at 50,000 Documents. Define the firm, intended users, document types, jurisdiction, and permitted use; label additional assumptions.</w:t>
      </w:r>
    </w:p>
    <w:p>
      <w:pPr>
        <w:pStyle w:val="ListNumber"/>
        <w:numPr>
          <w:ilvl w:val="0"/>
          <w:numId w:val="82"/>
        </w:numPr>
      </w:pPr>
      <w:r>
        <w:rPr>
          <w:b w:val="0"/>
          <w:i w:val="0"/>
        </w:rPr>
        <w:t>Build an issue matrix for regulation, copyright, liability, and governance. Separate primary legal text from commentary and record the access date.</w:t>
      </w:r>
    </w:p>
    <w:p>
      <w:pPr>
        <w:pStyle w:val="ListNumber"/>
        <w:numPr>
          <w:ilvl w:val="0"/>
          <w:numId w:val="83"/>
        </w:numPr>
      </w:pPr>
      <w:r>
        <w:rPr>
          <w:b w:val="0"/>
          <w:i w:val="0"/>
        </w:rPr>
        <w:t>Trace a hallucinated citation through the proposed workflow. Identify independent verification, responsibility, documentation, and escalation points.</w:t>
      </w:r>
    </w:p>
    <w:p>
      <w:pPr>
        <w:pStyle w:val="ListNumber"/>
        <w:numPr>
          <w:ilvl w:val="0"/>
          <w:numId w:val="84"/>
        </w:numPr>
      </w:pPr>
      <w:r>
        <w:rPr>
          <w:b w:val="0"/>
          <w:i w:val="0"/>
        </w:rPr>
        <w:t>Recommend conditional deployment, redesign, or deferral. Explain how a copyright or access restriction interacts with retrieval and how unresolved legal questions reach an accountable reviewer.</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25</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15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75</w:t>
            </w:r>
          </w:p>
        </w:tc>
      </w:tr>
    </w:tbl>
    <w:p>
      <w:r>
        <w:br w:type="page"/>
      </w:r>
    </w:p>
    <w:p>
      <w:pPr>
        <w:pStyle w:val="Heading3"/>
      </w:pPr>
      <w:r>
        <w:rPr>
          <w:b w:val="0"/>
          <w:i w:val="0"/>
        </w:rPr>
        <w:t>Assignment 3 — Research Assistant Milestone 14: Compliance Checklist</w:t>
      </w:r>
    </w:p>
    <w:p>
      <w:pPr>
        <w:pStyle w:val="Submission"/>
        <w:ind w:left="144" w:right="144"/>
        <w:shd w:fill="EAF3E5"/>
      </w:pPr>
      <w:r>
        <w:rPr>
          <w:b w:val="0"/>
          <w:i w:val="0"/>
        </w:rPr>
        <w:t>Type: Project portfolio milestone. Points: 50. Submit a PDF or DOCX to Week 14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Compliance Checklist</w:t>
      </w:r>
      <w:r>
        <w:rPr>
          <w:b w:val="0"/>
          <w:i w:val="0"/>
        </w:rPr>
        <w:t xml:space="preserve"> to your project portfolio:</w:t>
      </w:r>
    </w:p>
    <w:p>
      <w:pPr>
        <w:pStyle w:val="ListNumber"/>
        <w:numPr>
          <w:ilvl w:val="0"/>
          <w:numId w:val="85"/>
        </w:numPr>
      </w:pPr>
      <w:r>
        <w:rPr>
          <w:b/>
          <w:i w:val="0"/>
        </w:rPr>
        <w:t>Applicable regulations</w:t>
      </w:r>
      <w:r>
        <w:rPr>
          <w:b w:val="0"/>
          <w:i w:val="0"/>
        </w:rPr>
        <w:t>: Which frameworks from section 14.1 plausibly apply to your project, and which clearly don't, with reasoning for both.</w:t>
      </w:r>
    </w:p>
    <w:p>
      <w:pPr>
        <w:pStyle w:val="ListNumber"/>
        <w:numPr>
          <w:ilvl w:val="0"/>
          <w:numId w:val="85"/>
        </w:numPr>
      </w:pPr>
      <w:r>
        <w:rPr>
          <w:b/>
          <w:i w:val="0"/>
        </w:rPr>
        <w:t>Risk tier</w:t>
      </w:r>
      <w:r>
        <w:rPr>
          <w:b w:val="0"/>
          <w:i w:val="0"/>
        </w:rPr>
        <w:t>: If relevant, your assistant's likely EU AI Act risk classification.</w:t>
      </w:r>
    </w:p>
    <w:p>
      <w:pPr>
        <w:pStyle w:val="ListNumber"/>
        <w:numPr>
          <w:ilvl w:val="0"/>
          <w:numId w:val="85"/>
        </w:numPr>
      </w:pPr>
      <w:r>
        <w:rPr>
          <w:b/>
          <w:i w:val="0"/>
        </w:rPr>
        <w:t>Copyright consideration</w:t>
      </w:r>
      <w:r>
        <w:rPr>
          <w:b w:val="0"/>
          <w:i w:val="0"/>
        </w:rPr>
        <w:t>: Addressed explicitly, even if the honest answer is "needs review beyond this course."</w:t>
      </w:r>
    </w:p>
    <w:p>
      <w:pPr>
        <w:pStyle w:val="ListNumber"/>
        <w:numPr>
          <w:ilvl w:val="0"/>
          <w:numId w:val="85"/>
        </w:numPr>
      </w:pPr>
      <w:r>
        <w:rPr>
          <w:b/>
          <w:i w:val="0"/>
        </w:rPr>
        <w:t>Liability allocation</w:t>
      </w:r>
      <w:r>
        <w:rPr>
          <w:b w:val="0"/>
          <w:i w:val="0"/>
        </w:rPr>
        <w:t>: Where responsibility sits given your Chapter 5 design, stated explicitly rather than left implicit.</w:t>
      </w:r>
    </w:p>
    <w:p>
      <w:pPr>
        <w:pStyle w:val="Heading4"/>
      </w:pPr>
      <w:r>
        <w:rPr>
          <w:b w:val="0"/>
          <w:i w:val="0"/>
        </w:rPr>
        <w:t>What Makes a Strong Milestone</w:t>
      </w:r>
    </w:p>
    <w:p>
      <w:pPr/>
      <w:r>
        <w:rPr>
          <w:b w:val="0"/>
          <w:i w:val="0"/>
        </w:rPr>
        <w:t xml:space="preserve">A strong </w:t>
      </w:r>
      <w:r>
        <w:rPr>
          <w:b/>
          <w:i w:val="0"/>
        </w:rPr>
        <w:t>Compliance Checklist</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Applicable regulations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Risk tier</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Copyright consideration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15</w:t>
            </w:r>
          </w:p>
        </w:tc>
      </w:tr>
      <w:tr>
        <w:trPr>
          <w:cantSplit/>
        </w:trPr>
        <w:tc>
          <w:tcPr>
            <w:tcW w:type="dxa" w:w="2550"/>
            <w:vAlign w:val="top"/>
            <w:shd w:fill="F5F8FB"/>
          </w:tcPr>
          <w:p>
            <w:pPr>
              <w:pStyle w:val="TableText"/>
            </w:pPr>
            <w:r>
              <w:rPr>
                <w:b w:val="0"/>
                <w:i w:val="0"/>
              </w:rPr>
              <w:t>Liability allocation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10</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50</w:t>
            </w:r>
          </w:p>
        </w:tc>
      </w:tr>
    </w:tbl>
    <w:p>
      <w:r>
        <w:br w:type="page"/>
      </w:r>
    </w:p>
    <w:p>
      <w:pPr>
        <w:pStyle w:val="Heading3"/>
      </w:pPr>
      <w:r>
        <w:rPr>
          <w:b w:val="0"/>
          <w:i w:val="0"/>
        </w:rPr>
        <w:t>Week 14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Ethical Is Not the Same as Legal — Why Does That Matter?</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Legal Research Assistant + Compliance/Governance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75</w:t>
            </w:r>
          </w:p>
        </w:tc>
      </w:tr>
      <w:tr>
        <w:trPr>
          <w:cantSplit/>
        </w:trPr>
        <w:tc>
          <w:tcPr>
            <w:tcW w:type="dxa" w:w="4450"/>
            <w:vAlign w:val="top"/>
            <w:shd w:fill="EAF2FA"/>
          </w:tcPr>
          <w:p>
            <w:pPr>
              <w:pStyle w:val="TableText"/>
            </w:pPr>
            <w:r>
              <w:rPr>
                <w:b w:val="0"/>
                <w:i w:val="0"/>
              </w:rPr>
              <w:t>Compliance Checklist</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50</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175</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Compliance Checklist</w:t>
      </w:r>
      <w:r>
        <w:rPr>
          <w:b w:val="0"/>
          <w:i w:val="0"/>
        </w:rPr>
        <w:t xml:space="preserve"> becomes part 14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14 Module Guide</w:t>
    </w:r>
  </w:p>
  <w:p>
    <w:pPr>
      <w:pStyle w:val="Footer"/>
    </w:pPr>
    <w:r>
      <w:t>Law, Policy, and Governance of 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14-law-policy.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 Id="rId14" Type="http://schemas.openxmlformats.org/officeDocument/2006/relationships/hyperlink" Target="https://digital-strategy.ec.europa.eu/en/policies/regulatory-framework-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