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rPr>
          <w:b w:val="0"/>
          <w:i w:val="0"/>
        </w:rPr>
        <w:t>GENERATIVE AI</w:t>
      </w:r>
    </w:p>
    <w:p>
      <w:pPr/>
      <w:r>
        <w:rPr>
          <w:b w:val="0"/>
          <w:i w:val="0"/>
        </w:rPr>
        <w:t>Graduate Course | First Open Edition</w:t>
      </w:r>
    </w:p>
    <w:p>
      <w:pPr>
        <w:pStyle w:val="Title"/>
      </w:pPr>
      <w:r>
        <w:rPr>
          <w:b w:val="0"/>
          <w:i w:val="0"/>
        </w:rPr>
        <w:t>Week 16 Module Guide</w:t>
      </w:r>
    </w:p>
    <w:p>
      <w:pPr>
        <w:pStyle w:val="Heading2"/>
      </w:pPr>
      <w:r>
        <w:rPr>
          <w:b w:val="0"/>
          <w:i w:val="0"/>
        </w:rPr>
        <w:t>Final Project Demonstration, Portfolio Synthesis, and Reflection</w:t>
      </w:r>
    </w:p>
    <w:p>
      <w:pPr/>
      <w:r>
        <w:rPr>
          <w:b/>
          <w:i w:val="0"/>
        </w:rPr>
        <w:t>Chapter:</w:t>
      </w:r>
      <w:r>
        <w:rPr>
          <w:b w:val="0"/>
          <w:i w:val="0"/>
        </w:rPr>
        <w:t xml:space="preserve"> Course Synthesis — No New Chapter</w:t>
      </w:r>
    </w:p>
    <w:p>
      <w:pPr/>
      <w:r>
        <w:rPr>
          <w:b/>
          <w:i w:val="0"/>
        </w:rPr>
        <w:t>Project:</w:t>
      </w:r>
      <w:r>
        <w:rPr>
          <w:b w:val="0"/>
          <w:i w:val="0"/>
        </w:rPr>
        <w:t xml:space="preserve"> Final Integrated Portfolio &amp; Demonstration</w:t>
      </w:r>
    </w:p>
    <w:p>
      <w:pPr/>
      <w:r>
        <w:rPr>
          <w:b/>
          <w:i w:val="0"/>
        </w:rPr>
        <w:t>Est. Total Time:</w:t>
      </w:r>
      <w:r>
        <w:rPr>
          <w:b w:val="0"/>
          <w:i w:val="0"/>
        </w:rPr>
        <w:t xml:space="preserve"> Approx. 6–8 hours across the week</w:t>
      </w:r>
    </w:p>
    <w:p>
      <w:pPr>
        <w:pStyle w:val="SectionBand"/>
      </w:pPr>
      <w:r>
        <w:rPr>
          <w:b w:val="0"/>
          <w:i w:val="0"/>
        </w:rPr>
        <w:t>SECTION 1 — MODULE INTRODUCTION &amp; OBJECTIVES</w:t>
      </w:r>
    </w:p>
    <w:p>
      <w:pPr>
        <w:pStyle w:val="Heading3"/>
      </w:pPr>
      <w:r>
        <w:rPr>
          <w:b w:val="0"/>
          <w:i w:val="0"/>
        </w:rPr>
        <w:t>1. Week 16 Introduction &amp; Objectives</w:t>
      </w:r>
    </w:p>
    <w:p>
      <w:pPr>
        <w:pStyle w:val="Heading4"/>
      </w:pPr>
      <w:r>
        <w:rPr>
          <w:b w:val="0"/>
          <w:i w:val="0"/>
        </w:rPr>
        <w:t>Module Introduction</w:t>
      </w:r>
    </w:p>
    <w:p>
      <w:pPr/>
      <w:r>
        <w:rPr>
          <w:b w:val="0"/>
          <w:i w:val="0"/>
        </w:rPr>
        <w:t>You have carried one research-assistant design through fifteen milestones. Now bring those decisions together and explain what they make possible for your user. Your portfolio should show how model selection, prompts, retrieval, autonomy, evaluation, and responsibility fit the same problem, not fifteen different versions of it.</w:t>
      </w:r>
    </w:p>
    <w:p>
      <w:pPr/>
      <w:r>
        <w:rPr>
          <w:b w:val="0"/>
          <w:i w:val="0"/>
        </w:rPr>
        <w:t>Chapter 15 calls the Deployment Plan &amp; Forward Look “the final piece before your Week 16 demo.” This week is that handoff. Revisit the questions that opened your charter: what problem are you solving, why does it need generative AI, and what would success look like? Show how the evidence you gathered changed your answers.</w:t>
      </w:r>
    </w:p>
    <w:p>
      <w:pPr/>
      <w:r>
        <w:rPr>
          <w:b w:val="0"/>
          <w:i w:val="0"/>
        </w:rPr>
        <w:t>Your final demonstration is an opportunity to defend a coherent design, including its limits. A live prototype is optional; a clear storyboarded walkthrough can make the same decisions visible. The aim is to show what you understand, why you chose this approach, and what you would need to learn before putting it in front of real users.</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Analysis</w:t>
            </w:r>
          </w:p>
        </w:tc>
        <w:tc>
          <w:tcPr>
            <w:tcW w:type="dxa" w:w="5900"/>
            <w:vAlign w:val="top"/>
            <w:shd w:fill="EAF2FA"/>
          </w:tcPr>
          <w:p>
            <w:pPr>
              <w:pStyle w:val="TableText"/>
            </w:pPr>
            <w:r>
              <w:rPr>
                <w:b w:val="0"/>
                <w:i w:val="0"/>
              </w:rPr>
              <w:t>Analyze how model architecture and behavior informed the final design.</w:t>
            </w:r>
          </w:p>
        </w:tc>
        <w:tc>
          <w:tcPr>
            <w:tcW w:type="dxa" w:w="2280"/>
            <w:vAlign w:val="top"/>
            <w:shd w:fill="EAF2FA"/>
          </w:tcPr>
          <w:p>
            <w:pPr>
              <w:pStyle w:val="TableText"/>
            </w:pPr>
            <w:r>
              <w:rPr>
                <w:b w:val="0"/>
                <w:i w:val="0"/>
              </w:rPr>
              <w:t>CO 1 / PSLOs 1</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Creation</w:t>
            </w:r>
          </w:p>
        </w:tc>
        <w:tc>
          <w:tcPr>
            <w:tcW w:type="dxa" w:w="5900"/>
            <w:vAlign w:val="top"/>
            <w:shd w:fill="F5F8FB"/>
          </w:tcPr>
          <w:p>
            <w:pPr>
              <w:pStyle w:val="TableText"/>
            </w:pPr>
            <w:r>
              <w:rPr>
                <w:b w:val="0"/>
                <w:i w:val="0"/>
              </w:rPr>
              <w:t>Design a coherent system architecture that integrates the portfolio decisions.</w:t>
            </w:r>
          </w:p>
        </w:tc>
        <w:tc>
          <w:tcPr>
            <w:tcW w:type="dxa" w:w="2280"/>
            <w:vAlign w:val="top"/>
            <w:shd w:fill="F5F8FB"/>
          </w:tcPr>
          <w:p>
            <w:pPr>
              <w:pStyle w:val="TableText"/>
            </w:pPr>
            <w:r>
              <w:rPr>
                <w:b w:val="0"/>
                <w:i w:val="0"/>
              </w:rPr>
              <w:t>CO 2 / PSLOs 2, 3</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Evaluate the design using tests, criteria, and explicitly bounded evidence.</w:t>
            </w:r>
          </w:p>
        </w:tc>
        <w:tc>
          <w:tcPr>
            <w:tcW w:type="dxa" w:w="2280"/>
            <w:vAlign w:val="top"/>
            <w:shd w:fill="EAF2FA"/>
          </w:tcPr>
          <w:p>
            <w:pPr>
              <w:pStyle w:val="TableText"/>
            </w:pPr>
            <w:r>
              <w:rPr>
                <w:b w:val="0"/>
                <w:i w:val="0"/>
              </w:rPr>
              <w:t>CO 3 / PSLOs 3, 4</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Evaluation</w:t>
            </w:r>
          </w:p>
        </w:tc>
        <w:tc>
          <w:tcPr>
            <w:tcW w:type="dxa" w:w="5900"/>
            <w:vAlign w:val="top"/>
            <w:shd w:fill="F5F8FB"/>
          </w:tcPr>
          <w:p>
            <w:pPr>
              <w:pStyle w:val="TableText"/>
            </w:pPr>
            <w:r>
              <w:rPr>
                <w:b w:val="0"/>
                <w:i w:val="0"/>
              </w:rPr>
              <w:t>Assess ethical, legal, security, and societal responsibilities across the system.</w:t>
            </w:r>
          </w:p>
        </w:tc>
        <w:tc>
          <w:tcPr>
            <w:tcW w:type="dxa" w:w="2280"/>
            <w:vAlign w:val="top"/>
            <w:shd w:fill="F5F8FB"/>
          </w:tcPr>
          <w:p>
            <w:pPr>
              <w:pStyle w:val="TableText"/>
            </w:pPr>
            <w:r>
              <w:rPr>
                <w:b w:val="0"/>
                <w:i w:val="0"/>
              </w:rPr>
              <w:t>CO 4 / PSLOs 5</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Creation</w:t>
            </w:r>
          </w:p>
        </w:tc>
        <w:tc>
          <w:tcPr>
            <w:tcW w:type="dxa" w:w="5900"/>
            <w:vAlign w:val="top"/>
            <w:shd w:fill="EAF2FA"/>
          </w:tcPr>
          <w:p>
            <w:pPr>
              <w:pStyle w:val="TableText"/>
            </w:pPr>
            <w:r>
              <w:rPr>
                <w:b w:val="0"/>
                <w:i w:val="0"/>
              </w:rPr>
              <w:t>Synthesize research and project revisions into a defensible final presentation.</w:t>
            </w:r>
          </w:p>
        </w:tc>
        <w:tc>
          <w:tcPr>
            <w:tcW w:type="dxa" w:w="2280"/>
            <w:vAlign w:val="top"/>
            <w:shd w:fill="EAF2FA"/>
          </w:tcPr>
          <w:p>
            <w:pPr>
              <w:pStyle w:val="TableText"/>
            </w:pPr>
            <w:r>
              <w:rPr>
                <w:b w:val="0"/>
                <w:i w:val="0"/>
              </w:rPr>
              <w:t>CO 5 / PSLOs 1, 4, 6</w:t>
            </w:r>
          </w:p>
        </w:tc>
      </w:tr>
    </w:tbl>
    <w:p>
      <w:pPr>
        <w:pStyle w:val="Heading4"/>
      </w:pPr>
      <w:r>
        <w:rPr>
          <w:b w:val="0"/>
          <w:i w:val="0"/>
        </w:rPr>
        <w:t>Approved CO / PSLO Alignment</w:t>
      </w:r>
    </w:p>
    <w:p>
      <w:pPr/>
      <w:r>
        <w:rPr>
          <w:b w:val="0"/>
          <w:i w:val="0"/>
        </w:rPr>
        <w:t xml:space="preserve">This week emphasizes </w:t>
      </w:r>
      <w:r>
        <w:rPr>
          <w:b/>
          <w:i w:val="0"/>
        </w:rPr>
        <w:t>CO 1, CO 2, CO 3, CO 4, CO 5 / PSLOs 1, 2, 3, 4, 5, 6</w:t>
      </w:r>
      <w:r>
        <w:rPr>
          <w:b w:val="0"/>
          <w:i w:val="0"/>
        </w:rPr>
        <w:t>. Each objective uses only the approved CO-to-PSLO mapping; a PSLO code indicates curricular alignment, not that this single week independently demonstrates the entire program outcome.</w:t>
      </w:r>
    </w:p>
    <w:p>
      <w:pPr/>
      <w:r>
        <w:rPr>
          <w:b/>
          <w:i w:val="0"/>
        </w:rPr>
        <w:t>CO 1:</w:t>
      </w:r>
      <w:r>
        <w:rPr>
          <w:b w:val="0"/>
          <w:i w:val="0"/>
        </w:rPr>
        <w:t xml:space="preserve"> Analyze the theoretical foundations, architectures, and underlying mechanisms of Large Language Models and generative artificial intelligence systems.</w:t>
      </w:r>
    </w:p>
    <w:p>
      <w:pPr/>
      <w:r>
        <w:rPr>
          <w:b/>
          <w:i w:val="0"/>
        </w:rPr>
        <w:t>CO 2:</w:t>
      </w:r>
      <w:r>
        <w:rPr>
          <w:b w:val="0"/>
          <w:i w:val="0"/>
        </w:rPr>
        <w:t xml:space="preserve"> Design and implement applications that leverage Large Language Models and generative AI techniques to solve complex computational problems.</w:t>
      </w:r>
    </w:p>
    <w:p>
      <w:pPr/>
      <w:r>
        <w:rPr>
          <w:b/>
          <w:i w:val="0"/>
        </w:rPr>
        <w:t>CO 3:</w:t>
      </w:r>
      <w:r>
        <w:rPr>
          <w:b w:val="0"/>
          <w:i w:val="0"/>
        </w:rPr>
        <w:t xml:space="preserve"> Evaluate the performance, capabilities, limitations, and reliability of Large Language Models using appropriate experimental methodologies and evaluation metrics.</w:t>
      </w:r>
    </w:p>
    <w:p>
      <w:pPr/>
      <w:r>
        <w:rPr>
          <w:b/>
          <w:i w:val="0"/>
        </w:rPr>
        <w:t>CO 4:</w:t>
      </w:r>
      <w:r>
        <w:rPr>
          <w:b w:val="0"/>
          <w:i w:val="0"/>
        </w:rPr>
        <w:t xml:space="preserve"> Assess ethical, societal, legal, and security considerations associated with the development and deployment of generative artificial intelligence systems.</w:t>
      </w:r>
    </w:p>
    <w:p>
      <w:pPr/>
      <w:r>
        <w:rPr>
          <w:b/>
          <w:i w:val="0"/>
        </w:rPr>
        <w:t>CO 5:</w:t>
      </w:r>
      <w:r>
        <w:rPr>
          <w:b w:val="0"/>
          <w:i w:val="0"/>
        </w:rPr>
        <w:t xml:space="preserve"> Investigate and synthesize advanced methodologies, architectures, emerging technologies, and current research trends in Large Language Models and generative artificial intelligence.</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16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16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Audit all fifteen milestones and resolve contradictions in the architecture, scope, and evaluation plan.</w:t>
            </w:r>
          </w:p>
        </w:tc>
        <w:tc>
          <w:tcPr>
            <w:tcW w:type="dxa" w:w="1780"/>
            <w:vAlign w:val="top"/>
            <w:shd w:fill="EAF2FA"/>
          </w:tcPr>
          <w:p>
            <w:pPr>
              <w:pStyle w:val="TableText"/>
            </w:pPr>
            <w:r>
              <w:rPr>
                <w:b w:val="0"/>
                <w:i w:val="0"/>
              </w:rPr>
              <w:t>120–150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Revise the integrated portfolio; draft the reflection and demonstration narrative.</w:t>
            </w:r>
          </w:p>
        </w:tc>
        <w:tc>
          <w:tcPr>
            <w:tcW w:type="dxa" w:w="1780"/>
            <w:vAlign w:val="top"/>
            <w:shd w:fill="F5F8FB"/>
          </w:tcPr>
          <w:p>
            <w:pPr>
              <w:pStyle w:val="TableText"/>
            </w:pPr>
            <w:r>
              <w:rPr>
                <w:b w:val="0"/>
                <w:i w:val="0"/>
              </w:rPr>
              <w:t>90–120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Respond to peers, prepare slides/storyboard, and rehearse the 10–15 minute demonstration.</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Perform final consistency checks, submit the portfolio and presentation materials, and complete the demonstration in the instructor’s designated format.</w:t>
            </w:r>
          </w:p>
        </w:tc>
        <w:tc>
          <w:tcPr>
            <w:tcW w:type="dxa" w:w="1780"/>
            <w:vAlign w:val="top"/>
            <w:shd w:fill="F5F8FB"/>
          </w:tcPr>
          <w:p>
            <w:pPr>
              <w:pStyle w:val="TableText"/>
            </w:pPr>
            <w:r>
              <w:rPr>
                <w:b w:val="0"/>
                <w:i w:val="0"/>
              </w:rPr>
              <w:t>60–90 min</w:t>
            </w:r>
          </w:p>
        </w:tc>
      </w:tr>
    </w:tbl>
    <w:p>
      <w:pPr/>
      <w:r>
        <w:rPr>
          <w:b w:val="0"/>
          <w:i w:val="0"/>
        </w:rPr>
        <w:t>The ranges total approximately 360–480 minutes (6–8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80"/>
        </w:numPr>
      </w:pPr>
      <w:r>
        <w:rPr>
          <w:b w:val="0"/>
          <w:i w:val="0"/>
        </w:rPr>
        <w:t>Consult the due dates shown in Blackboard; the schedule above is not a deadline policy.</w:t>
      </w:r>
    </w:p>
    <w:p>
      <w:pPr>
        <w:pStyle w:val="ListBullet"/>
        <w:numPr>
          <w:ilvl w:val="0"/>
          <w:numId w:val="80"/>
        </w:numPr>
      </w:pPr>
      <w:r>
        <w:rPr>
          <w:b w:val="0"/>
          <w:i w:val="0"/>
        </w:rPr>
        <w:t>Keep one research-assistant domain and maintain a revision history for the same portfolio.</w:t>
      </w:r>
    </w:p>
    <w:p>
      <w:pPr>
        <w:pStyle w:val="ListBullet"/>
        <w:numPr>
          <w:ilvl w:val="0"/>
          <w:numId w:val="80"/>
        </w:numPr>
      </w:pPr>
      <w:r>
        <w:rPr>
          <w:b w:val="0"/>
          <w:i w:val="0"/>
        </w:rPr>
        <w:t>Cite sources for claims. Label measured results, scenario assumptions, and projected behavior distinctly.</w:t>
      </w:r>
    </w:p>
    <w:p>
      <w:pPr>
        <w:pStyle w:val="ListBullet"/>
        <w:numPr>
          <w:ilvl w:val="0"/>
          <w:numId w:val="80"/>
        </w:numPr>
      </w:pPr>
      <w:r>
        <w:rPr>
          <w:b w:val="0"/>
          <w:i w:val="0"/>
        </w:rPr>
        <w:t>Use public, synthetic, or appropriately authorized data. Keep credentials and private personal information out of submitted examples.</w:t>
      </w:r>
    </w:p>
    <w:p>
      <w:pPr>
        <w:pStyle w:val="ListBullet"/>
        <w:numPr>
          <w:ilvl w:val="0"/>
          <w:numId w:val="80"/>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Your own revised project portfolio; Chapter 15 wrap-up and its handoff to the Week 16 demo; selected earlier chapters needed to resolve inconsistencies. No new textbook chapter is assigned.</w:t>
      </w:r>
    </w:p>
    <w:p>
      <w:pPr>
        <w:pStyle w:val="Heading4"/>
      </w:pPr>
      <w:r>
        <w:rPr>
          <w:b w:val="0"/>
          <w:i w:val="0"/>
        </w:rPr>
        <w:t>Optional Companion Reading</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Optional: Epilogue</w:t>
      </w:r>
    </w:p>
    <w:p>
      <w:pPr/>
      <w:r>
        <w:rPr>
          <w:b w:val="0"/>
          <w:i w:val="0"/>
        </w:rPr>
        <w:t>Focus: Synthesis only; no major new reading competes with final project preparation.</w:t>
      </w:r>
    </w:p>
    <w:p>
      <w:pPr/>
      <w:r>
        <w:rPr>
          <w:b w:val="0"/>
          <w:i w:val="0"/>
        </w:rPr>
        <w:t xml:space="preserve">Read to compare how the two books frame the same engineering decision. Note one useful connection and one boundary of the companion’s coverage. No page numbers are prescribed. </w:t>
      </w:r>
      <w:hyperlink r:id="rId11">
        <w:r>
          <w:rPr>
            <w:color w:val="2F65A0"/>
            <w:u w:val="single"/>
          </w:rPr>
          <w:t>Publisher listing</w:t>
        </w:r>
      </w:hyperlink>
      <w:r>
        <w:rPr>
          <w:b w:val="0"/>
          <w:i w:val="0"/>
        </w:rPr>
        <w:t xml:space="preserve"> · </w:t>
      </w:r>
      <w:hyperlink r:id="rId12">
        <w:r>
          <w:rPr>
            <w:color w:val="2F65A0"/>
            <w:u w:val="single"/>
          </w:rPr>
          <w:t>Author’s contents</w:t>
        </w:r>
      </w:hyperlink>
      <w:r>
        <w:rPr>
          <w:b w:val="0"/>
          <w:i w:val="0"/>
        </w:rPr>
        <w:t>.</w:t>
      </w:r>
    </w:p>
    <w:p>
      <w:pPr>
        <w:pStyle w:val="Heading4"/>
      </w:pPr>
      <w:r>
        <w:rPr>
          <w:b w:val="0"/>
          <w:i w:val="0"/>
        </w:rPr>
        <w:t>Required Blackboard Item</w:t>
      </w:r>
    </w:p>
    <w:p>
      <w:pPr/>
      <w:r>
        <w:rPr>
          <w:b/>
          <w:i w:val="0"/>
        </w:rPr>
        <w:t>Week 16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Revisit the sources from your Week 8 review and any later evidence that changed a design decision. The Huyen Epilogue is optional; do not add a major new reading task this week.</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16 Assignments</w:t>
      </w:r>
    </w:p>
    <w:p>
      <w:pPr/>
      <w:r>
        <w:rPr>
          <w:b w:val="0"/>
          <w:i w:val="0"/>
        </w:rPr>
        <w:t xml:space="preserve">The discussion develops a judgment about </w:t>
      </w:r>
      <w:r>
        <w:rPr>
          <w:b/>
          <w:i w:val="0"/>
        </w:rPr>
        <w:t>What Changed in Your Design — and Why</w:t>
      </w:r>
      <w:r>
        <w:rPr>
          <w:b w:val="0"/>
          <w:i w:val="0"/>
        </w:rPr>
        <w:t>. The applied work tests that judgment against the complete portfolio. The demonstration makes the integrated design and its limits visible.</w:t>
      </w:r>
    </w:p>
    <w:p>
      <w:pPr>
        <w:pStyle w:val="Heading3"/>
      </w:pPr>
      <w:r>
        <w:rPr>
          <w:b w:val="0"/>
          <w:i w:val="0"/>
        </w:rPr>
        <w:t>Assignment 1 — Final Reflection Discussion: What Changed in Your Design — and Why?</w:t>
      </w:r>
    </w:p>
    <w:p>
      <w:pPr>
        <w:pStyle w:val="Submission"/>
        <w:ind w:left="144" w:right="144"/>
        <w:shd w:fill="EAF3E5"/>
      </w:pPr>
      <w:r>
        <w:rPr>
          <w:b w:val="0"/>
          <w:i w:val="0"/>
        </w:rPr>
        <w:t>Type: Discussion Board. Points: 50. Submit one initial post and two peer responses in the Week 16 Discussion item. Use Blackboard’s displayed due dates.</w:t>
      </w:r>
    </w:p>
    <w:p>
      <w:pPr/>
      <w:r>
        <w:rPr>
          <w:b w:val="0"/>
          <w:i w:val="0"/>
        </w:rPr>
        <w:t xml:space="preserve">Write an initial post of approximately </w:t>
      </w:r>
      <w:r>
        <w:rPr>
          <w:b/>
          <w:i w:val="0"/>
        </w:rPr>
        <w:t>350–500 words</w:t>
      </w:r>
      <w:r>
        <w:rPr>
          <w:b w:val="0"/>
          <w:i w:val="0"/>
        </w:rPr>
        <w:t>. Make a defensible claim, compare alternatives, and use evidence from the assigned material. Connect your judgment to your research-assistant design rather than summarizing the chapter.</w:t>
      </w:r>
    </w:p>
    <w:p>
      <w:pPr>
        <w:pStyle w:val="Heading4"/>
      </w:pPr>
      <w:r>
        <w:rPr>
          <w:b w:val="0"/>
          <w:i w:val="0"/>
        </w:rPr>
        <w:t>Discussion Prompt</w:t>
      </w:r>
    </w:p>
    <w:p>
      <w:pPr/>
      <w:r>
        <w:rPr>
          <w:b/>
          <w:i w:val="0"/>
        </w:rPr>
        <w:t>Part A — Position:</w:t>
      </w:r>
      <w:r>
        <w:rPr>
          <w:b w:val="0"/>
          <w:i w:val="0"/>
        </w:rPr>
        <w:t xml:space="preserve"> Identify the most important change between your initial charter and final design. Describe the evidence or feedback that caused it.</w:t>
      </w:r>
    </w:p>
    <w:p>
      <w:pPr/>
      <w:r>
        <w:rPr>
          <w:b/>
          <w:i w:val="0"/>
        </w:rPr>
        <w:t>Part B — Comparison:</w:t>
      </w:r>
      <w:r>
        <w:rPr>
          <w:b w:val="0"/>
          <w:i w:val="0"/>
        </w:rPr>
        <w:t xml:space="preserve"> Compare an early assumption with your current position on capability, evaluation, and responsibility. Explain one trade-off you still cannot resolve.</w:t>
      </w:r>
    </w:p>
    <w:p>
      <w:pPr/>
      <w:r>
        <w:rPr>
          <w:b/>
          <w:i w:val="0"/>
        </w:rPr>
        <w:t>Part C — Judgment:</w:t>
      </w:r>
      <w:r>
        <w:rPr>
          <w:b w:val="0"/>
          <w:i w:val="0"/>
        </w:rPr>
        <w:t xml:space="preserve"> State one next investigation that would improve the design and explain what you would do differently in another project.</w:t>
      </w:r>
    </w:p>
    <w:p>
      <w:pPr>
        <w:pStyle w:val="Heading4"/>
      </w:pPr>
      <w:r>
        <w:rPr>
          <w:b w:val="0"/>
          <w:i w:val="0"/>
        </w:rPr>
        <w:t>Peer Response Guidance</w:t>
      </w:r>
    </w:p>
    <w:p>
      <w:pPr/>
      <w:r>
        <w:rPr>
          <w:b w:val="0"/>
          <w:i w:val="0"/>
        </w:rPr>
        <w:t xml:space="preserve">Reply to </w:t>
      </w:r>
      <w:r>
        <w:rPr>
          <w:b/>
          <w:i w:val="0"/>
        </w:rPr>
        <w:t>two classmates, 150–200 words each</w:t>
      </w:r>
      <w:r>
        <w:rPr>
          <w:b w:val="0"/>
          <w:i w:val="0"/>
        </w:rPr>
        <w: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15</w:t>
            </w:r>
          </w:p>
        </w:tc>
      </w:tr>
      <w:tr>
        <w:trPr>
          <w:cantSplit/>
        </w:trPr>
        <w:tc>
          <w:tcPr>
            <w:tcW w:type="dxa" w:w="2550"/>
            <w:vAlign w:val="top"/>
            <w:shd w:fill="EAF2FA"/>
          </w:tcPr>
          <w:p>
            <w:pPr>
              <w:pStyle w:val="TableText"/>
            </w:pPr>
            <w:r>
              <w:rPr>
                <w:b w:val="0"/>
                <w:i w:val="0"/>
              </w:rPr>
              <w:t>Project connection</w:t>
            </w:r>
          </w:p>
        </w:tc>
        <w:tc>
          <w:tcPr>
            <w:tcW w:type="dxa" w:w="6530"/>
            <w:vAlign w:val="top"/>
            <w:shd w:fill="EAF2FA"/>
          </w:tcPr>
          <w:p>
            <w:pPr>
              <w:pStyle w:val="TableText"/>
            </w:pPr>
            <w:r>
              <w:rPr>
                <w:b w:val="0"/>
                <w:i w:val="0"/>
              </w:rPr>
              <w:t>Connects the argument to the same research assistant and its users.</w:t>
            </w:r>
          </w:p>
        </w:tc>
        <w:tc>
          <w:tcPr>
            <w:tcW w:type="dxa" w:w="1000"/>
            <w:vAlign w:val="top"/>
            <w:shd w:fill="EAF2FA"/>
          </w:tcPr>
          <w:p>
            <w:pPr>
              <w:pStyle w:val="TableText"/>
            </w:pPr>
            <w:r>
              <w:rPr>
                <w:b w:val="0"/>
                <w:i w:val="0"/>
              </w:rPr>
              <w:t>10</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10</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50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Integrated Project Portfolio</w:t>
      </w:r>
    </w:p>
    <w:p>
      <w:pPr>
        <w:pStyle w:val="Submission"/>
        <w:ind w:left="144" w:right="144"/>
        <w:shd w:fill="EAF3E5"/>
      </w:pPr>
      <w:r>
        <w:rPr>
          <w:b w:val="0"/>
          <w:i w:val="0"/>
        </w:rPr>
        <w:t>Type: Final integrated portfolio. Points: 100. Submit one PDF or DOCX with a contents list, all fifteen revised milestones, a concise design overview, and a revision log. Supporting artifacts may be attached separately with clear filenames.</w:t>
      </w:r>
    </w:p>
    <w:p>
      <w:pPr>
        <w:pStyle w:val="Heading4"/>
      </w:pPr>
      <w:r>
        <w:rPr>
          <w:b w:val="0"/>
          <w:i w:val="0"/>
        </w:rPr>
        <w:t>Detailed Portfolio Instructions</w:t>
      </w:r>
    </w:p>
    <w:p>
      <w:pPr/>
      <w:r>
        <w:rPr>
          <w:b w:val="0"/>
          <w:i w:val="0"/>
        </w:rPr>
        <w:t>Revise the previous work into one coherent design; do not simply concatenate fifteen untouched submissions. Include each of the following:</w:t>
      </w:r>
    </w:p>
    <w:p>
      <w:pPr>
        <w:pStyle w:val="ListNumber"/>
        <w:numPr>
          <w:ilvl w:val="0"/>
          <w:numId w:val="81"/>
        </w:numPr>
      </w:pPr>
      <w:r>
        <w:rPr>
          <w:b w:val="0"/>
          <w:i w:val="0"/>
        </w:rPr>
        <w:t>Project Charter</w:t>
      </w:r>
    </w:p>
    <w:p>
      <w:pPr>
        <w:pStyle w:val="ListNumber"/>
        <w:numPr>
          <w:ilvl w:val="0"/>
          <w:numId w:val="82"/>
        </w:numPr>
      </w:pPr>
      <w:r>
        <w:rPr>
          <w:b w:val="0"/>
          <w:i w:val="0"/>
        </w:rPr>
        <w:t>Model Selection Memo</w:t>
      </w:r>
    </w:p>
    <w:p>
      <w:pPr>
        <w:pStyle w:val="ListNumber"/>
        <w:numPr>
          <w:ilvl w:val="0"/>
          <w:numId w:val="83"/>
        </w:numPr>
      </w:pPr>
      <w:r>
        <w:rPr>
          <w:b w:val="0"/>
          <w:i w:val="0"/>
        </w:rPr>
        <w:t>Prompt Library v1</w:t>
      </w:r>
    </w:p>
    <w:p>
      <w:pPr>
        <w:pStyle w:val="ListNumber"/>
        <w:numPr>
          <w:ilvl w:val="0"/>
          <w:numId w:val="84"/>
        </w:numPr>
      </w:pPr>
      <w:r>
        <w:rPr>
          <w:b w:val="0"/>
          <w:i w:val="0"/>
        </w:rPr>
        <w:t>Integration Architecture Diagram</w:t>
      </w:r>
    </w:p>
    <w:p>
      <w:pPr>
        <w:pStyle w:val="ListNumber"/>
        <w:numPr>
          <w:ilvl w:val="0"/>
          <w:numId w:val="85"/>
        </w:numPr>
      </w:pPr>
      <w:r>
        <w:rPr>
          <w:b w:val="0"/>
          <w:i w:val="0"/>
        </w:rPr>
        <w:t>Agent Capability Plan</w:t>
      </w:r>
    </w:p>
    <w:p>
      <w:pPr>
        <w:pStyle w:val="ListNumber"/>
        <w:numPr>
          <w:ilvl w:val="0"/>
          <w:numId w:val="86"/>
        </w:numPr>
      </w:pPr>
      <w:r>
        <w:rPr>
          <w:b w:val="0"/>
          <w:i w:val="0"/>
        </w:rPr>
        <w:t>RAG Design Document</w:t>
      </w:r>
    </w:p>
    <w:p>
      <w:pPr>
        <w:pStyle w:val="ListNumber"/>
        <w:numPr>
          <w:ilvl w:val="0"/>
          <w:numId w:val="87"/>
        </w:numPr>
      </w:pPr>
      <w:r>
        <w:rPr>
          <w:b w:val="0"/>
          <w:i w:val="0"/>
        </w:rPr>
        <w:t>Customization Decision Memo</w:t>
      </w:r>
    </w:p>
    <w:p>
      <w:pPr>
        <w:pStyle w:val="ListNumber"/>
        <w:numPr>
          <w:ilvl w:val="0"/>
          <w:numId w:val="88"/>
        </w:numPr>
      </w:pPr>
      <w:r>
        <w:rPr>
          <w:b w:val="0"/>
          <w:i w:val="0"/>
        </w:rPr>
        <w:t>Literature Review &amp; Project Proposal</w:t>
      </w:r>
    </w:p>
    <w:p>
      <w:pPr>
        <w:pStyle w:val="ListNumber"/>
        <w:numPr>
          <w:ilvl w:val="0"/>
          <w:numId w:val="89"/>
        </w:numPr>
      </w:pPr>
      <w:r>
        <w:rPr>
          <w:b w:val="0"/>
          <w:i w:val="0"/>
        </w:rPr>
        <w:t>Multimodal Extension Plan</w:t>
      </w:r>
    </w:p>
    <w:p>
      <w:pPr>
        <w:pStyle w:val="ListNumber"/>
        <w:numPr>
          <w:ilvl w:val="0"/>
          <w:numId w:val="90"/>
        </w:numPr>
      </w:pPr>
      <w:r>
        <w:rPr>
          <w:b w:val="0"/>
          <w:i w:val="0"/>
        </w:rPr>
        <w:t>Evaluation Plan</w:t>
      </w:r>
    </w:p>
    <w:p>
      <w:pPr>
        <w:pStyle w:val="ListNumber"/>
        <w:numPr>
          <w:ilvl w:val="0"/>
          <w:numId w:val="91"/>
        </w:numPr>
      </w:pPr>
      <w:r>
        <w:rPr>
          <w:b w:val="0"/>
          <w:i w:val="0"/>
        </w:rPr>
        <w:t>Optimization Plan</w:t>
      </w:r>
    </w:p>
    <w:p>
      <w:pPr>
        <w:pStyle w:val="ListNumber"/>
        <w:numPr>
          <w:ilvl w:val="0"/>
          <w:numId w:val="92"/>
        </w:numPr>
      </w:pPr>
      <w:r>
        <w:rPr>
          <w:b w:val="0"/>
          <w:i w:val="0"/>
        </w:rPr>
        <w:t>Red-Team Review</w:t>
      </w:r>
    </w:p>
    <w:p>
      <w:pPr>
        <w:pStyle w:val="ListNumber"/>
        <w:numPr>
          <w:ilvl w:val="0"/>
          <w:numId w:val="93"/>
        </w:numPr>
      </w:pPr>
      <w:r>
        <w:rPr>
          <w:b w:val="0"/>
          <w:i w:val="0"/>
        </w:rPr>
        <w:t>Ethics &amp; Fairness Review</w:t>
      </w:r>
    </w:p>
    <w:p>
      <w:pPr>
        <w:pStyle w:val="ListNumber"/>
        <w:numPr>
          <w:ilvl w:val="0"/>
          <w:numId w:val="94"/>
        </w:numPr>
      </w:pPr>
      <w:r>
        <w:rPr>
          <w:b w:val="0"/>
          <w:i w:val="0"/>
        </w:rPr>
        <w:t>Compliance Checklist</w:t>
      </w:r>
    </w:p>
    <w:p>
      <w:pPr>
        <w:pStyle w:val="ListNumber"/>
        <w:numPr>
          <w:ilvl w:val="0"/>
          <w:numId w:val="95"/>
        </w:numPr>
      </w:pPr>
      <w:r>
        <w:rPr>
          <w:b w:val="0"/>
          <w:i w:val="0"/>
        </w:rPr>
        <w:t>Deployment Plan &amp; Forward Look</w:t>
      </w:r>
    </w:p>
    <w:p>
      <w:pPr/>
      <w:r>
        <w:rPr>
          <w:b w:val="0"/>
          <w:i w:val="0"/>
        </w:rPr>
        <w:t>Reconcile the same target user, scope, data boundaries, model strategy, autonomy limits, and success definition throughout. Explain material changes since the first submission and why they occurred. Cross-reference the evaluation plan, red-team findings, ethics review, and compliance checklist in the deployment decision. Retain uncertainty and limitations instead of removing them to make the portfolio look finished. No new implementation is mandatory.</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Complete portfolio</w:t>
            </w:r>
          </w:p>
        </w:tc>
        <w:tc>
          <w:tcPr>
            <w:tcW w:type="dxa" w:w="6530"/>
            <w:vAlign w:val="top"/>
            <w:shd w:fill="EAF2FA"/>
          </w:tcPr>
          <w:p>
            <w:pPr>
              <w:pStyle w:val="TableText"/>
            </w:pPr>
            <w:r>
              <w:rPr>
                <w:b w:val="0"/>
                <w:i w:val="0"/>
              </w:rPr>
              <w:t>Includes all fifteen milestone artifacts with a usable contents list.</w:t>
            </w:r>
          </w:p>
        </w:tc>
        <w:tc>
          <w:tcPr>
            <w:tcW w:type="dxa" w:w="1000"/>
            <w:vAlign w:val="top"/>
            <w:shd w:fill="EAF2FA"/>
          </w:tcPr>
          <w:p>
            <w:pPr>
              <w:pStyle w:val="TableText"/>
            </w:pPr>
            <w:r>
              <w:rPr>
                <w:b w:val="0"/>
                <w:i w:val="0"/>
              </w:rPr>
              <w:t>20</w:t>
            </w:r>
          </w:p>
        </w:tc>
      </w:tr>
      <w:tr>
        <w:trPr>
          <w:cantSplit/>
        </w:trPr>
        <w:tc>
          <w:tcPr>
            <w:tcW w:type="dxa" w:w="2550"/>
            <w:vAlign w:val="top"/>
            <w:shd w:fill="F5F8FB"/>
          </w:tcPr>
          <w:p>
            <w:pPr>
              <w:pStyle w:val="TableText"/>
            </w:pPr>
            <w:r>
              <w:rPr>
                <w:b w:val="0"/>
                <w:i w:val="0"/>
              </w:rPr>
              <w:t>Integration and consistency</w:t>
            </w:r>
          </w:p>
        </w:tc>
        <w:tc>
          <w:tcPr>
            <w:tcW w:type="dxa" w:w="6530"/>
            <w:vAlign w:val="top"/>
            <w:shd w:fill="F5F8FB"/>
          </w:tcPr>
          <w:p>
            <w:pPr>
              <w:pStyle w:val="TableText"/>
            </w:pPr>
            <w:r>
              <w:rPr>
                <w:b w:val="0"/>
                <w:i w:val="0"/>
              </w:rPr>
              <w:t>Resolves contradictions in users, architecture, model, data, evaluation, and deployment decisions.</w:t>
            </w:r>
          </w:p>
        </w:tc>
        <w:tc>
          <w:tcPr>
            <w:tcW w:type="dxa" w:w="1000"/>
            <w:vAlign w:val="top"/>
            <w:shd w:fill="F5F8FB"/>
          </w:tcPr>
          <w:p>
            <w:pPr>
              <w:pStyle w:val="TableText"/>
            </w:pPr>
            <w:r>
              <w:rPr>
                <w:b w:val="0"/>
                <w:i w:val="0"/>
              </w:rPr>
              <w:t>30</w:t>
            </w:r>
          </w:p>
        </w:tc>
      </w:tr>
      <w:tr>
        <w:trPr>
          <w:cantSplit/>
        </w:trPr>
        <w:tc>
          <w:tcPr>
            <w:tcW w:type="dxa" w:w="2550"/>
            <w:vAlign w:val="top"/>
            <w:shd w:fill="EAF2FA"/>
          </w:tcPr>
          <w:p>
            <w:pPr>
              <w:pStyle w:val="TableText"/>
            </w:pPr>
            <w:r>
              <w:rPr>
                <w:b w:val="0"/>
                <w:i w:val="0"/>
              </w:rPr>
              <w:t>Evidence and evaluation</w:t>
            </w:r>
          </w:p>
        </w:tc>
        <w:tc>
          <w:tcPr>
            <w:tcW w:type="dxa" w:w="6530"/>
            <w:vAlign w:val="top"/>
            <w:shd w:fill="EAF2FA"/>
          </w:tcPr>
          <w:p>
            <w:pPr>
              <w:pStyle w:val="TableText"/>
            </w:pPr>
            <w:r>
              <w:rPr>
                <w:b w:val="0"/>
                <w:i w:val="0"/>
              </w:rPr>
              <w:t>Uses research, test plans, and honestly labeled results to defend key choices.</w:t>
            </w:r>
          </w:p>
        </w:tc>
        <w:tc>
          <w:tcPr>
            <w:tcW w:type="dxa" w:w="1000"/>
            <w:vAlign w:val="top"/>
            <w:shd w:fill="EAF2FA"/>
          </w:tcPr>
          <w:p>
            <w:pPr>
              <w:pStyle w:val="TableText"/>
            </w:pPr>
            <w:r>
              <w:rPr>
                <w:b w:val="0"/>
                <w:i w:val="0"/>
              </w:rPr>
              <w:t>20</w:t>
            </w:r>
          </w:p>
        </w:tc>
      </w:tr>
      <w:tr>
        <w:trPr>
          <w:cantSplit/>
        </w:trPr>
        <w:tc>
          <w:tcPr>
            <w:tcW w:type="dxa" w:w="2550"/>
            <w:vAlign w:val="top"/>
            <w:shd w:fill="F5F8FB"/>
          </w:tcPr>
          <w:p>
            <w:pPr>
              <w:pStyle w:val="TableText"/>
            </w:pPr>
            <w:r>
              <w:rPr>
                <w:b w:val="0"/>
                <w:i w:val="0"/>
              </w:rPr>
              <w:t>Responsibility and limitations</w:t>
            </w:r>
          </w:p>
        </w:tc>
        <w:tc>
          <w:tcPr>
            <w:tcW w:type="dxa" w:w="6530"/>
            <w:vAlign w:val="top"/>
            <w:shd w:fill="F5F8FB"/>
          </w:tcPr>
          <w:p>
            <w:pPr>
              <w:pStyle w:val="TableText"/>
            </w:pPr>
            <w:r>
              <w:rPr>
                <w:b w:val="0"/>
                <w:i w:val="0"/>
              </w:rPr>
              <w:t>Integrates safety, ethics, privacy, legal/governance issues, and unresolved risks.</w:t>
            </w:r>
          </w:p>
        </w:tc>
        <w:tc>
          <w:tcPr>
            <w:tcW w:type="dxa" w:w="1000"/>
            <w:vAlign w:val="top"/>
            <w:shd w:fill="F5F8FB"/>
          </w:tcPr>
          <w:p>
            <w:pPr>
              <w:pStyle w:val="TableText"/>
            </w:pPr>
            <w:r>
              <w:rPr>
                <w:b w:val="0"/>
                <w:i w:val="0"/>
              </w:rPr>
              <w:t>20</w:t>
            </w:r>
          </w:p>
        </w:tc>
      </w:tr>
      <w:tr>
        <w:trPr>
          <w:cantSplit/>
        </w:trPr>
        <w:tc>
          <w:tcPr>
            <w:tcW w:type="dxa" w:w="2550"/>
            <w:vAlign w:val="top"/>
            <w:shd w:fill="EAF2FA"/>
          </w:tcPr>
          <w:p>
            <w:pPr>
              <w:pStyle w:val="TableText"/>
            </w:pPr>
            <w:r>
              <w:rPr>
                <w:b w:val="0"/>
                <w:i w:val="0"/>
              </w:rPr>
              <w:t>Revision traceability</w:t>
            </w:r>
          </w:p>
        </w:tc>
        <w:tc>
          <w:tcPr>
            <w:tcW w:type="dxa" w:w="6530"/>
            <w:vAlign w:val="top"/>
            <w:shd w:fill="EAF2FA"/>
          </w:tcPr>
          <w:p>
            <w:pPr>
              <w:pStyle w:val="TableText"/>
            </w:pPr>
            <w:r>
              <w:rPr>
                <w:b w:val="0"/>
                <w:i w:val="0"/>
              </w:rPr>
              <w:t>Documents significant revisions and gives precise source/artifact references.</w:t>
            </w:r>
          </w:p>
        </w:tc>
        <w:tc>
          <w:tcPr>
            <w:tcW w:type="dxa" w:w="1000"/>
            <w:vAlign w:val="top"/>
            <w:shd w:fill="EAF2FA"/>
          </w:tcPr>
          <w:p>
            <w:pPr>
              <w:pStyle w:val="TableText"/>
            </w:pPr>
            <w:r>
              <w:rPr>
                <w:b w:val="0"/>
                <w:i w:val="0"/>
              </w:rPr>
              <w:t>10</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100</w:t>
            </w:r>
          </w:p>
        </w:tc>
      </w:tr>
    </w:tbl>
    <w:p>
      <w:r>
        <w:br w:type="page"/>
      </w:r>
    </w:p>
    <w:p>
      <w:pPr>
        <w:pStyle w:val="Heading3"/>
      </w:pPr>
      <w:r>
        <w:rPr>
          <w:b w:val="0"/>
          <w:i w:val="0"/>
        </w:rPr>
        <w:t>Assignment 3 — Final Project Demonstration / Presentation</w:t>
      </w:r>
    </w:p>
    <w:p>
      <w:pPr>
        <w:pStyle w:val="Submission"/>
        <w:ind w:left="144" w:right="144"/>
        <w:shd w:fill="EAF3E5"/>
      </w:pPr>
      <w:r>
        <w:rPr>
          <w:b w:val="0"/>
          <w:i w:val="0"/>
        </w:rPr>
        <w:t>Type: Design demonstration and defense. Points: 100. Prepare a 10–15 minute presentation with slides or a storyboard and submit those materials through the Week 16 demonstration item. Use the instructor’s designated presentation session or text-based slide-and-notes walkthrough. A recording is not required.</w:t>
      </w:r>
    </w:p>
    <w:p>
      <w:pPr>
        <w:pStyle w:val="Heading4"/>
      </w:pPr>
      <w:r>
        <w:rPr>
          <w:b w:val="0"/>
          <w:i w:val="0"/>
        </w:rPr>
        <w:t>Detailed Demonstration Instructions</w:t>
      </w:r>
    </w:p>
    <w:p>
      <w:pPr/>
      <w:r>
        <w:rPr>
          <w:b w:val="0"/>
          <w:i w:val="0"/>
        </w:rPr>
        <w:t>Explain and defend your system design. A live prototype is optional. A storyboarded walkthrough should show a realistic request, how information and decisions move through the system, the expected response, and a failure or escalation path.</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00"/>
        <w:gridCol w:w="6880"/>
        <w:gridCol w:w="1400"/>
      </w:tblGrid>
      <w:tr>
        <w:trPr>
          <w:cantSplit/>
          <w:tblHeader/>
        </w:trPr>
        <w:tc>
          <w:tcPr>
            <w:tcW w:type="dxa" w:w="1800"/>
            <w:vAlign w:val="top"/>
            <w:shd w:fill="203864"/>
          </w:tcPr>
          <w:p>
            <w:pPr>
              <w:pStyle w:val="TableText"/>
            </w:pPr>
            <w:r>
              <w:rPr>
                <w:b/>
                <w:i w:val="0"/>
                <w:color w:val="FFFFFF"/>
              </w:rPr>
              <w:t>Segment</w:t>
            </w:r>
          </w:p>
        </w:tc>
        <w:tc>
          <w:tcPr>
            <w:tcW w:type="dxa" w:w="6880"/>
            <w:vAlign w:val="top"/>
            <w:shd w:fill="203864"/>
          </w:tcPr>
          <w:p>
            <w:pPr>
              <w:pStyle w:val="TableText"/>
            </w:pPr>
            <w:r>
              <w:rPr>
                <w:b/>
                <w:i w:val="0"/>
                <w:color w:val="FFFFFF"/>
              </w:rPr>
              <w:t>What to explain</w:t>
            </w:r>
          </w:p>
        </w:tc>
        <w:tc>
          <w:tcPr>
            <w:tcW w:type="dxa" w:w="1400"/>
            <w:vAlign w:val="top"/>
            <w:shd w:fill="203864"/>
          </w:tcPr>
          <w:p>
            <w:pPr>
              <w:pStyle w:val="TableText"/>
            </w:pPr>
            <w:r>
              <w:rPr>
                <w:b/>
                <w:i w:val="0"/>
                <w:color w:val="FFFFFF"/>
              </w:rPr>
              <w:t>Suggested time</w:t>
            </w:r>
          </w:p>
        </w:tc>
      </w:tr>
      <w:tr>
        <w:trPr>
          <w:cantSplit/>
        </w:trPr>
        <w:tc>
          <w:tcPr>
            <w:tcW w:type="dxa" w:w="1800"/>
            <w:vAlign w:val="top"/>
            <w:shd w:fill="EAF2FA"/>
          </w:tcPr>
          <w:p>
            <w:pPr>
              <w:pStyle w:val="TableText"/>
            </w:pPr>
            <w:r>
              <w:rPr>
                <w:b w:val="0"/>
                <w:i w:val="0"/>
              </w:rPr>
              <w:t>Problem and user</w:t>
            </w:r>
          </w:p>
        </w:tc>
        <w:tc>
          <w:tcPr>
            <w:tcW w:type="dxa" w:w="6880"/>
            <w:vAlign w:val="top"/>
            <w:shd w:fill="EAF2FA"/>
          </w:tcPr>
          <w:p>
            <w:pPr>
              <w:pStyle w:val="TableText"/>
            </w:pPr>
            <w:r>
              <w:rPr>
                <w:b w:val="0"/>
                <w:i w:val="0"/>
              </w:rPr>
              <w:t>Why generative AI; the user and success definition.</w:t>
            </w:r>
          </w:p>
        </w:tc>
        <w:tc>
          <w:tcPr>
            <w:tcW w:type="dxa" w:w="1400"/>
            <w:vAlign w:val="top"/>
            <w:shd w:fill="EAF2FA"/>
          </w:tcPr>
          <w:p>
            <w:pPr>
              <w:pStyle w:val="TableText"/>
            </w:pPr>
            <w:r>
              <w:rPr>
                <w:b w:val="0"/>
                <w:i w:val="0"/>
              </w:rPr>
              <w:t>2 min</w:t>
            </w:r>
          </w:p>
        </w:tc>
      </w:tr>
      <w:tr>
        <w:trPr>
          <w:cantSplit/>
        </w:trPr>
        <w:tc>
          <w:tcPr>
            <w:tcW w:type="dxa" w:w="1800"/>
            <w:vAlign w:val="top"/>
            <w:shd w:fill="F5F8FB"/>
          </w:tcPr>
          <w:p>
            <w:pPr>
              <w:pStyle w:val="TableText"/>
            </w:pPr>
            <w:r>
              <w:rPr>
                <w:b w:val="0"/>
                <w:i w:val="0"/>
              </w:rPr>
              <w:t>System design</w:t>
            </w:r>
          </w:p>
        </w:tc>
        <w:tc>
          <w:tcPr>
            <w:tcW w:type="dxa" w:w="6880"/>
            <w:vAlign w:val="top"/>
            <w:shd w:fill="F5F8FB"/>
          </w:tcPr>
          <w:p>
            <w:pPr>
              <w:pStyle w:val="TableText"/>
            </w:pPr>
            <w:r>
              <w:rPr>
                <w:b w:val="0"/>
                <w:i w:val="0"/>
              </w:rPr>
              <w:t>Architecture; model choice; prompt strategy; RAG/knowledge; agent capability if applicable; fine-tuning decision.</w:t>
            </w:r>
          </w:p>
        </w:tc>
        <w:tc>
          <w:tcPr>
            <w:tcW w:type="dxa" w:w="1400"/>
            <w:vAlign w:val="top"/>
            <w:shd w:fill="F5F8FB"/>
          </w:tcPr>
          <w:p>
            <w:pPr>
              <w:pStyle w:val="TableText"/>
            </w:pPr>
            <w:r>
              <w:rPr>
                <w:b w:val="0"/>
                <w:i w:val="0"/>
              </w:rPr>
              <w:t>4 min</w:t>
            </w:r>
          </w:p>
        </w:tc>
      </w:tr>
      <w:tr>
        <w:trPr>
          <w:cantSplit/>
        </w:trPr>
        <w:tc>
          <w:tcPr>
            <w:tcW w:type="dxa" w:w="1800"/>
            <w:vAlign w:val="top"/>
            <w:shd w:fill="EAF2FA"/>
          </w:tcPr>
          <w:p>
            <w:pPr>
              <w:pStyle w:val="TableText"/>
            </w:pPr>
            <w:r>
              <w:rPr>
                <w:b w:val="0"/>
                <w:i w:val="0"/>
              </w:rPr>
              <w:t>Evidence and responsibility</w:t>
            </w:r>
          </w:p>
        </w:tc>
        <w:tc>
          <w:tcPr>
            <w:tcW w:type="dxa" w:w="6880"/>
            <w:vAlign w:val="top"/>
            <w:shd w:fill="EAF2FA"/>
          </w:tcPr>
          <w:p>
            <w:pPr>
              <w:pStyle w:val="TableText"/>
            </w:pPr>
            <w:r>
              <w:rPr>
                <w:b w:val="0"/>
                <w:i w:val="0"/>
              </w:rPr>
              <w:t>Evaluation; safety/red-team findings; ethics/fairness; legal/governance issues; deployment plan.</w:t>
            </w:r>
          </w:p>
        </w:tc>
        <w:tc>
          <w:tcPr>
            <w:tcW w:type="dxa" w:w="1400"/>
            <w:vAlign w:val="top"/>
            <w:shd w:fill="EAF2FA"/>
          </w:tcPr>
          <w:p>
            <w:pPr>
              <w:pStyle w:val="TableText"/>
            </w:pPr>
            <w:r>
              <w:rPr>
                <w:b w:val="0"/>
                <w:i w:val="0"/>
              </w:rPr>
              <w:t>4 min</w:t>
            </w:r>
          </w:p>
        </w:tc>
      </w:tr>
      <w:tr>
        <w:trPr>
          <w:cantSplit/>
        </w:trPr>
        <w:tc>
          <w:tcPr>
            <w:tcW w:type="dxa" w:w="1800"/>
            <w:vAlign w:val="top"/>
            <w:shd w:fill="F5F8FB"/>
          </w:tcPr>
          <w:p>
            <w:pPr>
              <w:pStyle w:val="TableText"/>
            </w:pPr>
            <w:r>
              <w:rPr>
                <w:b w:val="0"/>
                <w:i w:val="0"/>
              </w:rPr>
              <w:t>Synthesis and defense</w:t>
            </w:r>
          </w:p>
        </w:tc>
        <w:tc>
          <w:tcPr>
            <w:tcW w:type="dxa" w:w="6880"/>
            <w:vAlign w:val="top"/>
            <w:shd w:fill="F5F8FB"/>
          </w:tcPr>
          <w:p>
            <w:pPr>
              <w:pStyle w:val="TableText"/>
            </w:pPr>
            <w:r>
              <w:rPr>
                <w:b w:val="0"/>
                <w:i w:val="0"/>
              </w:rPr>
              <w:t>Most important design change; remaining uncertainty; questions and trade-offs.</w:t>
            </w:r>
          </w:p>
        </w:tc>
        <w:tc>
          <w:tcPr>
            <w:tcW w:type="dxa" w:w="1400"/>
            <w:vAlign w:val="top"/>
            <w:shd w:fill="F5F8FB"/>
          </w:tcPr>
          <w:p>
            <w:pPr>
              <w:pStyle w:val="TableText"/>
            </w:pPr>
            <w:r>
              <w:rPr>
                <w:b w:val="0"/>
                <w:i w:val="0"/>
              </w:rPr>
              <w:t>2–5 min</w:t>
            </w:r>
          </w:p>
        </w:tc>
      </w:tr>
    </w:tbl>
    <w:p>
      <w:pPr/>
      <w:r>
        <w:rPr>
          <w:b w:val="0"/>
          <w:i w:val="0"/>
        </w:rPr>
        <w:t>Use evidence from your portfolio, including evidence that complicated your original plan. Make clear which behavior was observed and which is projected. For a text-based walkthrough, include speaker notes paced for the same 10–15 minute presentation and a short anticipated-questions section. Do not claim production readiness solely because a demo works.</w:t>
      </w:r>
    </w:p>
    <w:p>
      <w:pPr>
        <w:pStyle w:val="Heading4"/>
      </w:pPr>
      <w:r>
        <w:rPr>
          <w:b w:val="0"/>
          <w:i w:val="0"/>
        </w:rPr>
        <w:t>What Makes a Strong Final Demonstration</w:t>
      </w:r>
    </w:p>
    <w:p>
      <w:pPr/>
      <w:r>
        <w:rPr>
          <w:b w:val="0"/>
          <w:i w:val="0"/>
        </w:rPr>
        <w:t>The audience should be able to follow the same problem through every decision. Show how a design limitation affects a user, what would trigger human review, and what further evidence would be needed before deployment. Defend a bounded design instead of promising that every frontier capability belongs in the assistant.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Problem and architectural coherence</w:t>
            </w:r>
          </w:p>
        </w:tc>
        <w:tc>
          <w:tcPr>
            <w:tcW w:type="dxa" w:w="6530"/>
            <w:vAlign w:val="top"/>
            <w:shd w:fill="EAF2FA"/>
          </w:tcPr>
          <w:p>
            <w:pPr>
              <w:pStyle w:val="TableText"/>
            </w:pPr>
            <w:r>
              <w:rPr>
                <w:b w:val="0"/>
                <w:i w:val="0"/>
              </w:rPr>
              <w:t>Explains the user, need for generation, and connected system architecture.</w:t>
            </w:r>
          </w:p>
        </w:tc>
        <w:tc>
          <w:tcPr>
            <w:tcW w:type="dxa" w:w="1000"/>
            <w:vAlign w:val="top"/>
            <w:shd w:fill="EAF2FA"/>
          </w:tcPr>
          <w:p>
            <w:pPr>
              <w:pStyle w:val="TableText"/>
            </w:pPr>
            <w:r>
              <w:rPr>
                <w:b w:val="0"/>
                <w:i w:val="0"/>
              </w:rPr>
              <w:t>25</w:t>
            </w:r>
          </w:p>
        </w:tc>
      </w:tr>
      <w:tr>
        <w:trPr>
          <w:cantSplit/>
        </w:trPr>
        <w:tc>
          <w:tcPr>
            <w:tcW w:type="dxa" w:w="2550"/>
            <w:vAlign w:val="top"/>
            <w:shd w:fill="F5F8FB"/>
          </w:tcPr>
          <w:p>
            <w:pPr>
              <w:pStyle w:val="TableText"/>
            </w:pPr>
            <w:r>
              <w:rPr>
                <w:b w:val="0"/>
                <w:i w:val="0"/>
              </w:rPr>
              <w:t>Technical decisions and evidence</w:t>
            </w:r>
          </w:p>
        </w:tc>
        <w:tc>
          <w:tcPr>
            <w:tcW w:type="dxa" w:w="6530"/>
            <w:vAlign w:val="top"/>
            <w:shd w:fill="F5F8FB"/>
          </w:tcPr>
          <w:p>
            <w:pPr>
              <w:pStyle w:val="TableText"/>
            </w:pPr>
            <w:r>
              <w:rPr>
                <w:b w:val="0"/>
                <w:i w:val="0"/>
              </w:rPr>
              <w:t>Defends model, prompts, retrieval, autonomy, and customization choices with evidence.</w:t>
            </w:r>
          </w:p>
        </w:tc>
        <w:tc>
          <w:tcPr>
            <w:tcW w:type="dxa" w:w="1000"/>
            <w:vAlign w:val="top"/>
            <w:shd w:fill="F5F8FB"/>
          </w:tcPr>
          <w:p>
            <w:pPr>
              <w:pStyle w:val="TableText"/>
            </w:pPr>
            <w:r>
              <w:rPr>
                <w:b w:val="0"/>
                <w:i w:val="0"/>
              </w:rPr>
              <w:t>25</w:t>
            </w:r>
          </w:p>
        </w:tc>
      </w:tr>
      <w:tr>
        <w:trPr>
          <w:cantSplit/>
        </w:trPr>
        <w:tc>
          <w:tcPr>
            <w:tcW w:type="dxa" w:w="2550"/>
            <w:vAlign w:val="top"/>
            <w:shd w:fill="EAF2FA"/>
          </w:tcPr>
          <w:p>
            <w:pPr>
              <w:pStyle w:val="TableText"/>
            </w:pPr>
            <w:r>
              <w:rPr>
                <w:b w:val="0"/>
                <w:i w:val="0"/>
              </w:rPr>
              <w:t>Evaluation and responsibility</w:t>
            </w:r>
          </w:p>
        </w:tc>
        <w:tc>
          <w:tcPr>
            <w:tcW w:type="dxa" w:w="6530"/>
            <w:vAlign w:val="top"/>
            <w:shd w:fill="EAF2FA"/>
          </w:tcPr>
          <w:p>
            <w:pPr>
              <w:pStyle w:val="TableText"/>
            </w:pPr>
            <w:r>
              <w:rPr>
                <w:b w:val="0"/>
                <w:i w:val="0"/>
              </w:rPr>
              <w:t>Explains evaluation, red-team findings, ethics, governance, and deployment limits.</w:t>
            </w:r>
          </w:p>
        </w:tc>
        <w:tc>
          <w:tcPr>
            <w:tcW w:type="dxa" w:w="1000"/>
            <w:vAlign w:val="top"/>
            <w:shd w:fill="EAF2FA"/>
          </w:tcPr>
          <w:p>
            <w:pPr>
              <w:pStyle w:val="TableText"/>
            </w:pPr>
            <w:r>
              <w:rPr>
                <w:b w:val="0"/>
                <w:i w:val="0"/>
              </w:rPr>
              <w:t>25</w:t>
            </w:r>
          </w:p>
        </w:tc>
      </w:tr>
      <w:tr>
        <w:trPr>
          <w:cantSplit/>
        </w:trPr>
        <w:tc>
          <w:tcPr>
            <w:tcW w:type="dxa" w:w="2550"/>
            <w:vAlign w:val="top"/>
            <w:shd w:fill="F5F8FB"/>
          </w:tcPr>
          <w:p>
            <w:pPr>
              <w:pStyle w:val="TableText"/>
            </w:pPr>
            <w:r>
              <w:rPr>
                <w:b w:val="0"/>
                <w:i w:val="0"/>
              </w:rPr>
              <w:t>Synthesis and communication</w:t>
            </w:r>
          </w:p>
        </w:tc>
        <w:tc>
          <w:tcPr>
            <w:tcW w:type="dxa" w:w="6530"/>
            <w:vAlign w:val="top"/>
            <w:shd w:fill="F5F8FB"/>
          </w:tcPr>
          <w:p>
            <w:pPr>
              <w:pStyle w:val="TableText"/>
            </w:pPr>
            <w:r>
              <w:rPr>
                <w:b w:val="0"/>
                <w:i w:val="0"/>
              </w:rPr>
              <w:t>Provides a clear walkthrough, explains the major design change, and responds thoughtfully to questions.</w:t>
            </w:r>
          </w:p>
        </w:tc>
        <w:tc>
          <w:tcPr>
            <w:tcW w:type="dxa" w:w="1000"/>
            <w:vAlign w:val="top"/>
            <w:shd w:fill="F5F8FB"/>
          </w:tcPr>
          <w:p>
            <w:pPr>
              <w:pStyle w:val="TableText"/>
            </w:pPr>
            <w:r>
              <w:rPr>
                <w:b w:val="0"/>
                <w:i w:val="0"/>
              </w:rPr>
              <w:t>25</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100</w:t>
            </w:r>
          </w:p>
        </w:tc>
      </w:tr>
    </w:tbl>
    <w:p>
      <w:r>
        <w:br w:type="page"/>
      </w:r>
    </w:p>
    <w:p>
      <w:pPr>
        <w:pStyle w:val="Heading3"/>
      </w:pPr>
      <w:r>
        <w:rPr>
          <w:b w:val="0"/>
          <w:i w:val="0"/>
        </w:rPr>
        <w:t>Week 16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What Changed in Your Design — and Why?</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50</w:t>
            </w:r>
          </w:p>
        </w:tc>
      </w:tr>
      <w:tr>
        <w:trPr>
          <w:cantSplit/>
        </w:trPr>
        <w:tc>
          <w:tcPr>
            <w:tcW w:type="dxa" w:w="4450"/>
            <w:vAlign w:val="top"/>
            <w:shd w:fill="F5F8FB"/>
          </w:tcPr>
          <w:p>
            <w:pPr>
              <w:pStyle w:val="TableText"/>
            </w:pPr>
            <w:r>
              <w:rPr>
                <w:b w:val="0"/>
                <w:i w:val="0"/>
              </w:rPr>
              <w:t>Integrated Project Portfolio</w:t>
            </w:r>
          </w:p>
        </w:tc>
        <w:tc>
          <w:tcPr>
            <w:tcW w:type="dxa" w:w="2900"/>
            <w:vAlign w:val="top"/>
            <w:shd w:fill="F5F8FB"/>
          </w:tcPr>
          <w:p>
            <w:pPr>
              <w:pStyle w:val="TableText"/>
            </w:pPr>
            <w:r>
              <w:rPr>
                <w:b w:val="0"/>
                <w:i w:val="0"/>
              </w:rPr>
              <w:t>Revised integrated portfolio</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100</w:t>
            </w:r>
          </w:p>
        </w:tc>
      </w:tr>
      <w:tr>
        <w:trPr>
          <w:cantSplit/>
        </w:trPr>
        <w:tc>
          <w:tcPr>
            <w:tcW w:type="dxa" w:w="4450"/>
            <w:vAlign w:val="top"/>
            <w:shd w:fill="EAF2FA"/>
          </w:tcPr>
          <w:p>
            <w:pPr>
              <w:pStyle w:val="TableText"/>
            </w:pPr>
            <w:r>
              <w:rPr>
                <w:b w:val="0"/>
                <w:i w:val="0"/>
              </w:rPr>
              <w:t>Final Project Demonstration / Presentation</w:t>
            </w:r>
          </w:p>
        </w:tc>
        <w:tc>
          <w:tcPr>
            <w:tcW w:type="dxa" w:w="2900"/>
            <w:vAlign w:val="top"/>
            <w:shd w:fill="EAF2FA"/>
          </w:tcPr>
          <w:p>
            <w:pPr>
              <w:pStyle w:val="TableText"/>
            </w:pPr>
            <w:r>
              <w:rPr>
                <w:b w:val="0"/>
                <w:i w:val="0"/>
              </w:rPr>
              <w:t>Slides/storyboard + presentation</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100</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250</w:t>
            </w:r>
          </w:p>
        </w:tc>
      </w:tr>
    </w:tbl>
    <w:p>
      <w:pPr>
        <w:pStyle w:val="Heading4"/>
      </w:pPr>
      <w:r>
        <w:rPr>
          <w:b w:val="0"/>
          <w:i w:val="0"/>
        </w:rPr>
        <w:t>Before You Submit</w:t>
      </w:r>
    </w:p>
    <w:p>
      <w:pPr>
        <w:pStyle w:val="ListBullet"/>
        <w:numPr>
          <w:ilvl w:val="0"/>
          <w:numId w:val="96"/>
        </w:numPr>
      </w:pPr>
      <w:r>
        <w:rPr>
          <w:b w:val="0"/>
          <w:i w:val="0"/>
        </w:rPr>
        <w:t>Check that each required prompt component is visibly addressed, using descriptive headings.</w:t>
      </w:r>
    </w:p>
    <w:p>
      <w:pPr>
        <w:pStyle w:val="ListBullet"/>
        <w:numPr>
          <w:ilvl w:val="0"/>
          <w:numId w:val="96"/>
        </w:numPr>
      </w:pPr>
      <w:r>
        <w:rPr>
          <w:b w:val="0"/>
          <w:i w:val="0"/>
        </w:rPr>
        <w:t>Match the discussion claim to the analysis evidence and the portfolio decision. Explain a disagreement rather than hiding it.</w:t>
      </w:r>
    </w:p>
    <w:p>
      <w:pPr>
        <w:pStyle w:val="ListBullet"/>
        <w:numPr>
          <w:ilvl w:val="0"/>
          <w:numId w:val="96"/>
        </w:numPr>
      </w:pPr>
      <w:r>
        <w:rPr>
          <w:b w:val="0"/>
          <w:i w:val="0"/>
        </w:rPr>
        <w:t>Keep references traceable: name the chapter or section, identify external sources, and date time-sensitive evidence.</w:t>
      </w:r>
    </w:p>
    <w:p>
      <w:pPr>
        <w:pStyle w:val="ListBullet"/>
        <w:numPr>
          <w:ilvl w:val="0"/>
          <w:numId w:val="96"/>
        </w:numPr>
      </w:pPr>
      <w:r>
        <w:rPr>
          <w:b w:val="0"/>
          <w:i w:val="0"/>
        </w:rPr>
        <w:t>Confirm that diagrams and tables are readable and that the submitted files open normally.</w:t>
      </w:r>
    </w:p>
    <w:p>
      <w:pPr>
        <w:pStyle w:val="ListBullet"/>
        <w:numPr>
          <w:ilvl w:val="0"/>
          <w:numId w:val="96"/>
        </w:numPr>
      </w:pPr>
      <w:r>
        <w:rPr>
          <w:b w:val="0"/>
          <w:i w:val="0"/>
        </w:rPr>
        <w:t>Label assumptions, illustrative examples, measured observations, and projections consistently.</w:t>
      </w:r>
    </w:p>
    <w:p>
      <w:pPr>
        <w:pStyle w:val="ListBullet"/>
        <w:numPr>
          <w:ilvl w:val="0"/>
          <w:numId w:val="96"/>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The portfolio and demonstration should tell the same story. Resolve any mismatch between slides and the final document, and retain the sources that support important claims. The project ends with a defensible design and a clear account of remaining work; a production deployment is not required.</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sectPr w:rsidR="00FC693F" w:rsidRPr="0006063C" w:rsidSect="00034616">
      <w:footerReference w:type="default" r:id="rId9"/>
      <w:headerReference w:type="default" r:id="rId10"/>
      <w:pgSz w:w="12240" w:h="15840"/>
      <w:pgMar w:top="1080" w:right="1080" w:bottom="1080" w:left="1080" w:header="432" w:footer="461"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16 Module Guide</w:t>
    </w:r>
  </w:p>
  <w:p>
    <w:pPr>
      <w:pStyle w:val="Footer"/>
    </w:pPr>
    <w:r>
      <w:t>Final Project Demonstration &amp; Portfolio Synthesis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multiLevelType w:val="singleLevel"/>
    <w:lvl w:ilvl="0">
      <w:start w:val="1"/>
      <w:numFmt w:val="bullet"/>
      <w:lvlText w:val="•"/>
      <w:suff w:val="space"/>
      <w:lvlJc w:val="left"/>
      <w:pPr>
        <w:tabs>
          <w:tab w:val="num" w:pos="360"/>
        </w:tabs>
        <w:ind w:left="360" w:hanging="180"/>
      </w:pPr>
    </w:lvl>
  </w:abstractNum>
  <w:abstractNum w:abstractNumId="71">
    <w:multiLevelType w:val="singleLevel"/>
    <w:lvl w:ilvl="0">
      <w:start w:val="1"/>
      <w:numFmt w:val="decimal"/>
      <w:lvlText w:val="%1."/>
      <w:suff w:val="space"/>
      <w:lvlJc w:val="left"/>
      <w:pPr>
        <w:tabs>
          <w:tab w:val="num" w:pos="360"/>
        </w:tabs>
        <w:ind w:left="360" w:hanging="180"/>
      </w:pPr>
    </w:lvl>
  </w:abstractNum>
  <w:num w:numId="80">
    <w:abstractNumId w:val="70"/>
    <w:lvlOverride w:ilvl="0">
      <w:startOverride w:val="1"/>
    </w:lvlOverride>
  </w:num>
  <w:num w:numId="81">
    <w:abstractNumId w:val="71"/>
    <w:lvlOverride w:ilvl="0">
      <w:startOverride w:val="1"/>
    </w:lvlOverride>
  </w:num>
  <w:num w:numId="82">
    <w:abstractNumId w:val="71"/>
    <w:lvlOverride w:ilvl="0">
      <w:startOverride w:val="2"/>
    </w:lvlOverride>
  </w:num>
  <w:num w:numId="83">
    <w:abstractNumId w:val="71"/>
    <w:lvlOverride w:ilvl="0">
      <w:startOverride w:val="3"/>
    </w:lvlOverride>
  </w:num>
  <w:num w:numId="84">
    <w:abstractNumId w:val="71"/>
    <w:lvlOverride w:ilvl="0">
      <w:startOverride w:val="4"/>
    </w:lvlOverride>
  </w:num>
  <w:num w:numId="85">
    <w:abstractNumId w:val="71"/>
    <w:lvlOverride w:ilvl="0">
      <w:startOverride w:val="5"/>
    </w:lvlOverride>
  </w:num>
  <w:num w:numId="86">
    <w:abstractNumId w:val="71"/>
    <w:lvlOverride w:ilvl="0">
      <w:startOverride w:val="6"/>
    </w:lvlOverride>
  </w:num>
  <w:num w:numId="87">
    <w:abstractNumId w:val="71"/>
    <w:lvlOverride w:ilvl="0">
      <w:startOverride w:val="7"/>
    </w:lvlOverride>
  </w:num>
  <w:num w:numId="88">
    <w:abstractNumId w:val="71"/>
    <w:lvlOverride w:ilvl="0">
      <w:startOverride w:val="8"/>
    </w:lvlOverride>
  </w:num>
  <w:num w:numId="89">
    <w:abstractNumId w:val="71"/>
    <w:lvlOverride w:ilvl="0">
      <w:startOverride w:val="9"/>
    </w:lvlOverride>
  </w:num>
  <w:num w:numId="90">
    <w:abstractNumId w:val="71"/>
    <w:lvlOverride w:ilvl="0">
      <w:startOverride w:val="10"/>
    </w:lvlOverride>
  </w:num>
  <w:num w:numId="91">
    <w:abstractNumId w:val="71"/>
    <w:lvlOverride w:ilvl="0">
      <w:startOverride w:val="11"/>
    </w:lvlOverride>
  </w:num>
  <w:num w:numId="92">
    <w:abstractNumId w:val="71"/>
    <w:lvlOverride w:ilvl="0">
      <w:startOverride w:val="12"/>
    </w:lvlOverride>
  </w:num>
  <w:num w:numId="93">
    <w:abstractNumId w:val="71"/>
    <w:lvlOverride w:ilvl="0">
      <w:startOverride w:val="13"/>
    </w:lvlOverride>
  </w:num>
  <w:num w:numId="94">
    <w:abstractNumId w:val="71"/>
    <w:lvlOverride w:ilvl="0">
      <w:startOverride w:val="14"/>
    </w:lvlOverride>
  </w:num>
  <w:num w:numId="95">
    <w:abstractNumId w:val="71"/>
    <w:lvlOverride w:ilvl="0">
      <w:startOverride w:val="15"/>
    </w:lvlOverride>
  </w:num>
  <w:num w:numId="96">
    <w:abstractNumId w:val="7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Arial" w:hAnsi="Arial"/>
      <w:b w:val="0"/>
      <w:color w:val="202B38"/>
      <w:sz w:val="21"/>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59" w:lineRule="auto" w:before="0"/>
    </w:pPr>
    <w:rPr>
      <w:rFonts w:ascii="Arial" w:hAnsi="Arial"/>
      <w:b w:val="0"/>
      <w:color w:val="203864"/>
      <w:sz w:val="16"/>
      <w:rFonts w:ascii="Arial" w:hAnsi="Arial" w:eastAsia="Arial" w:cs="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120" w:line="259" w:lineRule="auto"/>
      <w:outlineLvl w:val="0"/>
    </w:pPr>
    <w:rPr>
      <w:rFonts w:asciiTheme="majorHAnsi" w:eastAsiaTheme="majorEastAsia" w:hAnsiTheme="majorHAnsi" w:cstheme="majorBidi" w:ascii="Arial" w:hAnsi="Arial"/>
      <w:b/>
      <w:bCs/>
      <w:color w:val="203864"/>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widowControl/>
      <w:spacing w:before="160" w:after="120" w:line="259" w:lineRule="auto"/>
      <w:outlineLvl w:val="1"/>
    </w:pPr>
    <w:rPr>
      <w:rFonts w:asciiTheme="majorHAnsi" w:eastAsiaTheme="majorEastAsia" w:hAnsiTheme="majorHAnsi" w:cstheme="majorBidi" w:ascii="Arial" w:hAnsi="Arial"/>
      <w:b/>
      <w:bCs/>
      <w:color w:val="2F65A0"/>
      <w:sz w:val="28"/>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widowControl/>
      <w:spacing w:before="160" w:after="120" w:line="259" w:lineRule="auto"/>
      <w:outlineLvl w:val="2"/>
    </w:pPr>
    <w:rPr>
      <w:rFonts w:asciiTheme="majorHAnsi" w:eastAsiaTheme="majorEastAsia" w:hAnsiTheme="majorHAnsi" w:cstheme="majorBidi" w:ascii="Arial" w:hAnsi="Arial"/>
      <w:b/>
      <w:bCs/>
      <w:color w:val="2F65A0"/>
      <w:sz w:val="24"/>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widowControl/>
      <w:spacing w:before="160" w:after="120" w:line="259" w:lineRule="auto"/>
      <w:outlineLvl w:val="3"/>
    </w:pPr>
    <w:rPr>
      <w:rFonts w:asciiTheme="majorHAnsi" w:eastAsiaTheme="majorEastAsia" w:hAnsiTheme="majorHAnsi" w:cstheme="majorBidi" w:ascii="Arial" w:hAnsi="Arial"/>
      <w:b/>
      <w:bCs/>
      <w:i/>
      <w:iCs/>
      <w:color w:val="2F65A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59" w:lineRule="auto" w:before="0"/>
      <w:contextualSpacing/>
    </w:pPr>
    <w:rPr>
      <w:rFonts w:asciiTheme="majorHAnsi" w:eastAsiaTheme="majorEastAsia" w:hAnsiTheme="majorHAnsi" w:cstheme="majorBidi" w:ascii="Arial" w:hAnsi="Arial"/>
      <w:b/>
      <w:color w:val="203864"/>
      <w:spacing w:val="5"/>
      <w:kern w:val="28"/>
      <w:sz w:val="44"/>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59" w:lineRule="auto"/>
    </w:pPr>
    <w:rPr>
      <w:rFonts w:asciiTheme="majorHAnsi" w:eastAsiaTheme="majorEastAsia" w:hAnsiTheme="majorHAnsi" w:cstheme="majorBidi" w:ascii="Arial" w:hAnsi="Arial"/>
      <w:b w:val="0"/>
      <w:i/>
      <w:iCs/>
      <w:color w:val="202B38"/>
      <w:spacing w:val="15"/>
      <w:sz w:val="24"/>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100" w:line="259" w:lineRule="auto"/>
      <w:contextualSpacing/>
    </w:pPr>
    <w:rPr>
      <w:rFonts w:ascii="Arial" w:hAnsi="Arial"/>
      <w:b w:val="0"/>
      <w:color w:val="202B38"/>
      <w:sz w:val="21"/>
      <w:rFonts w:ascii="Arial" w:hAnsi="Arial" w:eastAsia="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100" w:line="259" w:lineRule="auto"/>
      <w:contextualSpacing/>
    </w:pPr>
    <w:rPr>
      <w:rFonts w:ascii="Arial" w:hAnsi="Arial"/>
      <w:b w:val="0"/>
      <w:color w:val="202B38"/>
      <w:sz w:val="21"/>
      <w:rFonts w:ascii="Arial" w:hAnsi="Arial" w:eastAsia="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widowControl/>
      <w:spacing w:before="0" w:after="100" w:line="259" w:lineRule="auto"/>
    </w:pPr>
    <w:rPr>
      <w:rFonts w:ascii="Arial" w:hAnsi="Arial"/>
      <w:b/>
      <w:color w:val="2F65A0"/>
      <w:sz w:val="22"/>
      <w:rFonts w:ascii="Arial" w:hAnsi="Arial" w:eastAsia="Arial" w:cs="Arial"/>
    </w:rPr>
  </w:style>
  <w:style w:type="paragraph" w:customStyle="1" w:styleId="SectionBand">
    <w:name w:val="Section Band"/>
    <w:pPr>
      <w:widowControl/>
      <w:spacing w:before="140" w:after="120" w:line="259" w:lineRule="auto"/>
    </w:pPr>
    <w:rPr>
      <w:rFonts w:ascii="Arial" w:hAnsi="Arial"/>
      <w:b/>
      <w:color w:val="203864"/>
      <w:sz w:val="20"/>
      <w:rFonts w:ascii="Arial" w:hAnsi="Arial" w:eastAsia="Arial" w:cs="Arial"/>
    </w:rPr>
  </w:style>
  <w:style w:type="paragraph" w:customStyle="1" w:styleId="TableText">
    <w:name w:val="Table Text"/>
    <w:pPr>
      <w:widowControl/>
      <w:spacing w:before="0" w:after="60" w:line="259" w:lineRule="auto"/>
    </w:pPr>
    <w:rPr>
      <w:rFonts w:ascii="Arial" w:hAnsi="Arial"/>
      <w:b w:val="0"/>
      <w:color w:val="202B38"/>
      <w:sz w:val="19"/>
      <w:rFonts w:ascii="Arial" w:hAnsi="Arial" w:eastAsia="Arial" w:cs="Arial"/>
    </w:rPr>
  </w:style>
  <w:style w:type="paragraph" w:customStyle="1" w:styleId="Guidance">
    <w:name w:val="Guidance"/>
    <w:pPr>
      <w:keepLines/>
      <w:widowControl/>
      <w:spacing w:before="100" w:after="160" w:line="259" w:lineRule="auto"/>
    </w:pPr>
    <w:rPr>
      <w:rFonts w:ascii="Arial" w:hAnsi="Arial"/>
      <w:b w:val="0"/>
      <w:color w:val="202B38"/>
      <w:sz w:val="19"/>
      <w:rFonts w:ascii="Arial" w:hAnsi="Arial" w:eastAsia="Arial" w:cs="Arial"/>
    </w:rPr>
  </w:style>
  <w:style w:type="paragraph" w:customStyle="1" w:styleId="Submission">
    <w:name w:val="Submission"/>
    <w:pPr>
      <w:keepLines/>
      <w:widowControl/>
      <w:spacing w:before="100" w:after="160" w:line="259" w:lineRule="auto"/>
    </w:pPr>
    <w:rPr>
      <w:rFonts w:ascii="Arial" w:hAnsi="Arial"/>
      <w:b w:val="0"/>
      <w:color w:val="202B38"/>
      <w:sz w:val="20"/>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www.oreilly.com/library/view/ai-engineering/9781098166298/" TargetMode="External"/><Relationship Id="rId12" Type="http://schemas.openxmlformats.org/officeDocument/2006/relationships/hyperlink" Target="https://github.com/chiphuyen/aie-book/blob/main/ToC.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 Blackboard Module Guides</dc:title>
  <dc:subject>Graduate course | First Open Edition</dc:subject>
  <dc:creator>Moody Amakobe</dc:creator>
  <cp:keywords>Generative AI, Blackboard, weekly module guides</cp:keywords>
  <dc:description>generated by python-docx</dc:description>
  <cp:lastModifiedBy/>
  <cp:revision>1</cp:revision>
  <dcterms:created xsi:type="dcterms:W3CDTF">2013-12-23T23:15:00Z</dcterms:created>
  <dcterms:modified xsi:type="dcterms:W3CDTF">2013-12-23T23:15:00Z</dcterms:modified>
  <cp:category/>
</cp:coreProperties>
</file>