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078992" cy="1078992"/>
            <wp:docPr id="1" name="Picture 1" descr="HZISL leagu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zisl-basketb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D71920"/>
          <w:sz w:val="19"/>
        </w:rPr>
        <w:t>SPORT REGULATIONS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003478"/>
          <w:sz w:val="56"/>
        </w:rPr>
        <w:t>Basketball Competition Rules</w:t>
      </w:r>
    </w:p>
    <w:p>
      <w:pPr>
        <w:pStyle w:val="Subtitle"/>
        <w:jc w:val="center"/>
      </w:pPr>
      <w:r>
        <w:t>Applies to MS Boys, MS Girls, HS Boys and HS Girls.</w:t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526173"/>
          <w:sz w:val="19"/>
        </w:rPr>
        <w:t>Season 2026–27  •  Version 1.0  •  Effective 5 September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3478"/>
          <w:left w:val="single" w:sz="8" w:space="0" w:color="003478"/>
          <w:bottom w:val="single" w:sz="8" w:space="0" w:color="003478"/>
          <w:right w:val="single" w:sz="8" w:space="0" w:color="003478"/>
          <w:insideH w:val="single" w:sz="8" w:space="0" w:color="003478"/>
          <w:insideV w:val="single" w:sz="8" w:space="0" w:color="003478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03478"/>
                <w:sz w:val="19"/>
              </w:rPr>
              <w:t xml:space="preserve">GAME FORMAT  </w:t>
            </w:r>
            <w:r>
              <w:rPr>
                <w:rFonts w:ascii="Calibri" w:hAnsi="Calibri" w:eastAsia="Calibri"/>
                <w:color w:val="0B2545"/>
                <w:sz w:val="20"/>
              </w:rPr>
              <w:t>5-a-side • 4 × 8-minute quarters • 4-minute quarter intervals • 10-minute half-time • 3-minute overtime periods.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pStyle w:val="Heading1"/>
        <w:pageBreakBefore w:val="0"/>
      </w:pPr>
      <w:r>
        <w:t>1. Governing code</w:t>
      </w:r>
    </w:p>
    <w:p>
      <w:pPr>
        <w:keepNext w:val="0"/>
      </w:pPr>
      <w:r>
        <w:rPr>
          <w:rFonts w:ascii="Calibri" w:hAnsi="Calibri" w:eastAsia="Calibri"/>
          <w:i w:val="0"/>
          <w:color w:val="0B2545"/>
        </w:rPr>
        <w:t>HZISL uses the FIBA Official Basketball Rules 2024 as its baseline for the entire 2026–27 season, with the local modifications below. This prevents a mid-season rules change when FIBA’s 2026 edition takes effect on 1 October 2026. A later edition applies only if HZISL adopts it by written bulletin.</w:t>
      </w:r>
    </w:p>
    <w:p>
      <w:pPr>
        <w:pStyle w:val="Heading1"/>
        <w:pageBreakBefore w:val="0"/>
      </w:pPr>
      <w:r>
        <w:t>2. Game and team format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Item</w:t>
            </w:r>
          </w:p>
        </w:tc>
        <w:tc>
          <w:tcPr>
            <w:tcW w:type="dxa" w:w="73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HZISL rule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Players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5 on court per team. A team must have 5 ready to start.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Matchday roster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Maximum 12 eligible players, plus authorized team staff.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Playing time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Four quarters of 8 minutes.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Intervals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4 minutes between Q1–Q2 and Q3–Q4; 10 minutes at half-time.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Overtime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3-minute periods with a 2-minute interval, repeated until a winner is determined.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Clock</w:t>
            </w:r>
          </w:p>
        </w:tc>
        <w:tc>
          <w:tcPr>
            <w:tcW w:type="dxa" w:w="7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Stopped and restarted under FIBA principles; the referee may correct an obvious timing error before the report is signed.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pStyle w:val="Heading1"/>
        <w:pageBreakBefore w:val="0"/>
      </w:pPr>
      <w:r>
        <w:t>3. Court, baskets and ball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host provides a safe court, securely fitted baskets, visible boundary lines, team benches and a controlled scorer’s table.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Boys divisions use a size 7 ball; Girls divisions use a size 6 ball. The host supplies a match ball and a serviceable spare.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home team wears the lighter uniform and the away team the darker uniform unless both teams agree otherwise. Shirts must be numbered and distinguishable.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Jewelry and unsafe equipment are not permitted. The referee decides whether protective equipment is safe.</w:t>
      </w:r>
    </w:p>
    <w:p>
      <w:pPr>
        <w:pStyle w:val="Heading1"/>
        <w:pageBreakBefore w:val="0"/>
      </w:pPr>
      <w:r>
        <w:t>4. Table officials and equipment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host appoints a trained scorer and timer. Their table record operates under the referee crew’s authority.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venue provides a visible game clock, score display, possession arrow, team-foul markers and audible signal where available.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24/14-second shot clock is used only when compliant equipment and a trained operator are available and its use is declared to both teams before warm-up. Without it, deliberate delay may still be sanctioned under the governing rules.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Instant replay and coach’s challenge procedures are not used in HZISL matches.</w:t>
      </w:r>
    </w:p>
    <w:p>
      <w:pPr>
        <w:pStyle w:val="Heading1"/>
        <w:pageBreakBefore w:val="0"/>
      </w:pPr>
      <w:r>
        <w:t>5. Start, possession and scoring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first quarter begins with a jump ball. Alternating possession applies thereafter in accordance with FIBA procedure.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successful free throw scores 1 point, a field goal from the 2-point area scores 2, and a field goal from the 3-point area scores 3.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Teams change baskets for the second half. The scorer confirms the running score with the officials at each interval.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Backcourt, closely guarded, throw-in, free-throw and restricted-area timing provisions follow the FIBA baseline, subject to the available table equipment.</w:t>
      </w:r>
    </w:p>
    <w:p>
      <w:pPr>
        <w:pStyle w:val="Heading1"/>
        <w:pageBreakBefore w:val="0"/>
      </w:pPr>
      <w:r>
        <w:t>6. Substitutions and time-outs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Substitutions are unlimited among the 12 named players and occur during a substitution opportunity after the scorer’s signal and referee authorization.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Each team may use 2 time-outs in the first half, 3 in the second half (no more than 2 in the final 2 minutes of Q4) and 1 in each overtime.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Unused time-outs do not carry into the next half or overtime.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An injured or bleeding player is managed under FIBA procedure and the school medical protocol. A suspected concussion or serious injury ends participation for the day unless appropriately cleared.</w:t>
      </w:r>
    </w:p>
    <w:p>
      <w:pPr>
        <w:pStyle w:val="Heading1"/>
        <w:pageBreakBefore w:val="0"/>
      </w:pPr>
      <w:r>
        <w:t>7. Violations and fouls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Traveling, illegal dribble, out-of-bounds, 3-second, 5-second and backcourt violations follow the FIBA baseline.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player who commits 5 fouls is informed by an official and must leave the game immediately.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Beginning with the fifth team foul in a quarter, non-shooting personal fouls are penalized under the FIBA team-foul rule.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Technical, unsportsmanlike and disqualifying fouls use the FIBA 2024 terminology for this HZISL season.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disqualified player or team official leaves the playing area and is automatically suspended from the next HZISL match pending league review.</w:t>
      </w:r>
    </w:p>
    <w:p>
      <w:pPr>
        <w:pStyle w:val="Heading1"/>
        <w:pageBreakBefore w:val="0"/>
      </w:pPr>
      <w:r>
        <w:t>8. Forfeit, suspension and safety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team unable to field 5 ready players within 15 minutes after the scheduled start normally forfeits 20–0, subject to Coordinator review of exceptional circumstances.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A game may be suspended for unsafe court conditions, medical emergency, facility intrusion, severe behavior or another serious risk.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color w:val="0B2545"/>
          <w:sz w:val="22"/>
        </w:rPr>
        <w:t>The officials and host record the score, time, possession and reason for a suspension. The Coordinator decides whether the game resumes, is replayed, stands or is forfeited.</w:t>
      </w:r>
    </w:p>
    <w:p>
      <w:pPr>
        <w:pStyle w:val="Heading1"/>
        <w:pageBreakBefore w:val="0"/>
      </w:pPr>
      <w:r>
        <w:t>9. Results and standings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Ind w:w="120" w:type="dxa"/>
      </w:tblPr>
      <w:tblGrid>
        <w:gridCol w:w="6200"/>
        <w:gridCol w:w="3160"/>
      </w:tblGrid>
      <w:tr>
        <w:trPr>
          <w:tblHeader w:val="true"/>
          <w:cantSplit/>
        </w:trPr>
        <w:tc>
          <w:tcPr>
            <w:tcW w:type="dxa" w:w="6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Result</w:t>
            </w:r>
          </w:p>
        </w:tc>
        <w:tc>
          <w:tcPr>
            <w:tcW w:type="dxa" w:w="31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03478"/>
                <w:sz w:val="18"/>
              </w:rPr>
              <w:t>League points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Win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Loss after playing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Forfeit/default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0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Calibri"/>
          <w:i w:val="0"/>
          <w:color w:val="0B2545"/>
        </w:rPr>
      </w:r>
    </w:p>
    <w:p>
      <w:pPr>
        <w:keepNext w:val="0"/>
      </w:pPr>
      <w:r>
        <w:rPr>
          <w:rFonts w:ascii="Calibri" w:hAnsi="Calibri" w:eastAsia="Calibri"/>
          <w:i w:val="0"/>
          <w:color w:val="0B2545"/>
        </w:rPr>
        <w:t>Teams are ranked by league points, then head-to-head results among tied teams, head-to-head point difference, overall point difference, points scored and, if still required for a final placing, a neutral playoff or draw determined by the Council.</w:t>
      </w:r>
    </w:p>
    <w:p>
      <w:pPr>
        <w:pStyle w:val="Heading1"/>
        <w:pageBreakBefore w:val="0"/>
      </w:pPr>
      <w:r>
        <w:t>10. Match report and protest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The scorer and referee crew reconcile the running score, period totals, fouls and exceptional incidents.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Both coaches review and sign the Official Match Report immediately after the game.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A coach notes an intention to protest before signing when practicable; the school representative submits the written protest within 24 hours.</w:t>
      </w:r>
    </w:p>
    <w:p>
      <w:pPr>
        <w:numPr>
          <w:ilvl w:val="0"/>
          <w:numId w:val="12"/>
        </w:numPr>
        <w:spacing w:after="80"/>
      </w:pPr>
      <w:r>
        <w:rPr>
          <w:rFonts w:ascii="Calibri" w:hAnsi="Calibri" w:eastAsia="Calibri"/>
          <w:color w:val="0B2545"/>
          <w:sz w:val="22"/>
        </w:rPr>
        <w:t>A protest may concern eligibility, administration or a correctable rules application. It does not reopen ordinary judgment calls after the game.</w:t>
      </w:r>
    </w:p>
    <w:p>
      <w:pPr>
        <w:pStyle w:val="Heading1"/>
        <w:pageBreakBefore w:val="0"/>
      </w:pPr>
      <w:r>
        <w:t>Official references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FIBA Official Basketball Rules 2024: </w:t>
      </w:r>
      <w:hyperlink r:id="rId12">
        <w:r>
          <w:rPr>
            <w:rFonts w:ascii="Calibri" w:hAnsi="Calibri"/>
            <w:color w:val="2E74B5"/>
            <w:u w:val="single"/>
          </w:rPr>
          <w:t>Official source</w:t>
        </w:r>
      </w:hyperlink>
      <w:r>
        <w:rPr>
          <w:rFonts w:ascii="Calibri" w:hAnsi="Calibri" w:eastAsia="Calibri"/>
          <w:color w:val="526173"/>
          <w:sz w:val="19"/>
        </w:rPr>
        <w:t xml:space="preserve"> — the HZISL baseline for the full 2026–27 season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 w:eastAsia="Calibri"/>
          <w:b/>
          <w:color w:val="0B2545"/>
          <w:sz w:val="19"/>
        </w:rPr>
        <w:t xml:space="preserve">FIBA rules resource hub: </w:t>
      </w:r>
      <w:hyperlink r:id="rId13">
        <w:r>
          <w:rPr>
            <w:rFonts w:ascii="Calibri" w:hAnsi="Calibri"/>
            <w:color w:val="2E74B5"/>
            <w:u w:val="single"/>
          </w:rPr>
          <w:t>Official source</w:t>
        </w:r>
      </w:hyperlink>
      <w:r>
        <w:rPr>
          <w:rFonts w:ascii="Calibri" w:hAnsi="Calibri" w:eastAsia="Calibri"/>
          <w:color w:val="526173"/>
          <w:sz w:val="19"/>
        </w:rPr>
        <w:t xml:space="preserve"> — official rules and interpretations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640" w:val="left"/>
      </w:tabs>
      <w:spacing w:before="0" w:after="0"/>
    </w:pPr>
    <w:r>
      <w:rPr>
        <w:rFonts w:ascii="Calibri" w:hAnsi="Calibri" w:eastAsia="Calibri"/>
        <w:color w:val="526173"/>
        <w:sz w:val="17"/>
      </w:rPr>
      <w:t>Official competition document  •  v1.0  •  15 August 2026</w:t>
    </w:r>
    <w:r>
      <w:rPr>
        <w:rFonts w:ascii="Calibri" w:hAnsi="Calibri" w:eastAsia="Calibri"/>
        <w:color w:val="526173"/>
        <w:sz w:val="17"/>
      </w:rPr>
      <w:tab/>
      <w:t xml:space="preserve">Page </w:t>
    </w:r>
    <w:r>
      <w:rPr>
        <w:rFonts w:ascii="Calibri" w:hAnsi="Calibri" w:eastAsia="Calibri"/>
        <w:color w:val="5261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329184" cy="329184"/>
          <wp:docPr id="1" name="Picture 1" descr="HZISL leagu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zisl-basketb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526173"/>
        <w:sz w:val="17"/>
      </w:rPr>
      <w:t xml:space="preserve">  HZISL  |  BASKETBALL RULES  |  2026–27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3478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003478"/>
      </w:r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3478"/>
      <w:sz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3478"/>
      <w:spacing w:val="5"/>
      <w:kern w:val="28"/>
      <w:sz w:val="56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26173"/>
      <w:spacing w:val="15"/>
      <w:sz w:val="27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ssets.fiba.basketball/image/upload/documents-corporate-fiba-official-rules-2024-v10a.pdf" TargetMode="External"/><Relationship Id="rId13" Type="http://schemas.openxmlformats.org/officeDocument/2006/relationships/hyperlink" Target="https://refereeing.fiba.basketball/en/rules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Basketball Competition Rules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