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1078992" cy="1078992"/>
            <wp:docPr id="1" name="Picture 1" descr="HZISL league logo"/>
            <wp:cNvGraphicFramePr>
              <a:graphicFrameLocks noChangeAspect="1"/>
            </wp:cNvGraphicFramePr>
            <a:graphic>
              <a:graphicData uri="http://schemas.openxmlformats.org/drawingml/2006/picture">
                <pic:pic>
                  <pic:nvPicPr>
                    <pic:cNvPr id="0" name="hzisl-volleyball.png"/>
                    <pic:cNvPicPr/>
                  </pic:nvPicPr>
                  <pic:blipFill>
                    <a:blip r:embed="rId11"/>
                    <a:stretch>
                      <a:fillRect/>
                    </a:stretch>
                  </pic:blipFill>
                  <pic:spPr>
                    <a:xfrm>
                      <a:off x="0" y="0"/>
                      <a:ext cx="1078992" cy="1078992"/>
                    </a:xfrm>
                    <a:prstGeom prst="rect"/>
                  </pic:spPr>
                </pic:pic>
              </a:graphicData>
            </a:graphic>
          </wp:inline>
        </w:drawing>
      </w:r>
    </w:p>
    <w:p>
      <w:pPr>
        <w:spacing w:after="100"/>
        <w:jc w:val="center"/>
      </w:pPr>
      <w:r>
        <w:rPr>
          <w:rFonts w:ascii="Calibri" w:hAnsi="Calibri" w:eastAsia="Calibri"/>
          <w:b/>
          <w:color w:val="D71920"/>
          <w:sz w:val="19"/>
        </w:rPr>
        <w:t>SPORT REGULATIONS</w:t>
      </w:r>
    </w:p>
    <w:p>
      <w:pPr>
        <w:pStyle w:val="Title"/>
        <w:jc w:val="center"/>
      </w:pPr>
      <w:r>
        <w:rPr>
          <w:rFonts w:ascii="Calibri" w:hAnsi="Calibri" w:eastAsia="Calibri"/>
          <w:b/>
          <w:color w:val="003478"/>
          <w:sz w:val="56"/>
        </w:rPr>
        <w:t>Volleyball Competition Rules</w:t>
      </w:r>
    </w:p>
    <w:p>
      <w:pPr>
        <w:pStyle w:val="Subtitle"/>
        <w:jc w:val="center"/>
      </w:pPr>
      <w:r>
        <w:t>Applies to MS Boys, MS Girls, HS Boys and HS Girls.</w:t>
      </w:r>
    </w:p>
    <w:p>
      <w:pPr>
        <w:spacing w:after="280"/>
        <w:jc w:val="center"/>
      </w:pPr>
      <w:r>
        <w:rPr>
          <w:rFonts w:ascii="Calibri" w:hAnsi="Calibri" w:eastAsia="Calibri"/>
          <w:b/>
          <w:color w:val="526173"/>
          <w:sz w:val="19"/>
        </w:rPr>
        <w:t>Season 2026–27  •  Version 1.1  •  Effective 5 September 2026</w:t>
      </w:r>
    </w:p>
    <w:tbl>
      <w:tblPr>
        <w:tblW w:type="dxa" w:w="9360"/>
        <w:jc w:val="left"/>
        <w:tblLayout w:type="fixed"/>
        <w:tblLook w:firstColumn="1" w:firstRow="1" w:lastColumn="0" w:lastRow="0" w:noHBand="0" w:noVBand="1" w:val="04A0"/>
        <w:tblInd w:w="120" w:type="dxa"/>
        <w:tblBorders>
          <w:top w:val="single" w:sz="8" w:space="0" w:color="003478"/>
          <w:left w:val="single" w:sz="8" w:space="0" w:color="003478"/>
          <w:bottom w:val="single" w:sz="8" w:space="0" w:color="003478"/>
          <w:right w:val="single" w:sz="8" w:space="0" w:color="003478"/>
          <w:insideH w:val="single" w:sz="8" w:space="0" w:color="003478"/>
          <w:insideV w:val="single" w:sz="8" w:space="0" w:color="003478"/>
        </w:tblBorders>
      </w:tblPr>
      <w:tblGrid>
        <w:gridCol w:w="9360"/>
      </w:tblGrid>
      <w:tr>
        <w:trPr>
          <w:tblHeader w:val="true"/>
          <w:cantSplit/>
        </w:trPr>
        <w:tc>
          <w:tcPr>
            <w:tcW w:type="dxa" w:w="9360"/>
            <w:vAlign w:val="center"/>
            <w:tcMar>
              <w:top w:w="80" w:type="dxa"/>
              <w:bottom w:w="80" w:type="dxa"/>
              <w:start w:w="120" w:type="dxa"/>
              <w:end w:w="120" w:type="dxa"/>
            </w:tcMar>
            <w:shd w:fill="E8EEF5" w:val="clear"/>
          </w:tcPr>
          <w:p>
            <w:pPr>
              <w:spacing w:after="0"/>
            </w:pPr>
            <w:r>
              <w:rPr>
                <w:rFonts w:ascii="Calibri" w:hAnsi="Calibri" w:eastAsia="Calibri"/>
                <w:b/>
                <w:color w:val="003478"/>
                <w:sz w:val="19"/>
              </w:rPr>
              <w:t xml:space="preserve">MATCH FORMAT  </w:t>
            </w:r>
            <w:r>
              <w:rPr>
                <w:rFonts w:ascii="Calibri" w:hAnsi="Calibri" w:eastAsia="Calibri"/>
                <w:color w:val="0B2545"/>
                <w:sz w:val="20"/>
              </w:rPr>
              <w:t>6-a-side • best of 3 sets • sets 1–2 to 25 • deciding set to 15 • win by 2 • unlimited substitutions.</w:t>
            </w:r>
          </w:p>
        </w:tc>
      </w:tr>
    </w:tbl>
    <w:p>
      <w:pPr>
        <w:keepNext w:val="0"/>
        <w:spacing w:after="40"/>
      </w:pPr>
      <w:r>
        <w:rPr>
          <w:rFonts w:ascii="Calibri" w:hAnsi="Calibri" w:eastAsia="Calibri"/>
          <w:i w:val="0"/>
          <w:color w:val="0B2545"/>
        </w:rPr>
      </w:r>
    </w:p>
    <w:p>
      <w:pPr>
        <w:pStyle w:val="Heading1"/>
        <w:pageBreakBefore w:val="0"/>
      </w:pPr>
      <w:r>
        <w:t>1. Governing code</w:t>
      </w:r>
    </w:p>
    <w:p>
      <w:pPr>
        <w:keepNext w:val="0"/>
      </w:pPr>
      <w:r>
        <w:rPr>
          <w:rFonts w:ascii="Calibri" w:hAnsi="Calibri" w:eastAsia="Calibri"/>
          <w:i w:val="0"/>
          <w:color w:val="0B2545"/>
        </w:rPr>
        <w:t>HZISL uses the FIVB Official Volleyball Rules 2025–2028 as its baseline for the 2026–27 season, with the local modifications below. These local rules control where they differ from FIVB. The HZISL Competition Handbook controls league administration, eligibility, safety and protests.</w:t>
      </w:r>
    </w:p>
    <w:p>
      <w:pPr>
        <w:pStyle w:val="Heading1"/>
        <w:pageBreakBefore w:val="0"/>
      </w:pPr>
      <w:r>
        <w:t>2. Match and team format</w:t>
      </w:r>
    </w:p>
    <w:tbl>
      <w:tblPr>
        <w:tblW w:type="dxa" w:w="9360"/>
        <w:tblLayout w:type="fixed"/>
        <w:tblLook w:firstColumn="1" w:firstRow="1" w:lastColumn="0" w:lastRow="0" w:noHBand="0" w:noVBand="1" w:val="04A0"/>
        <w:jc w:val="left"/>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Ind w:w="120" w:type="dxa"/>
      </w:tblPr>
      <w:tblGrid>
        <w:gridCol w:w="2050"/>
        <w:gridCol w:w="7310"/>
      </w:tblGrid>
      <w:tr>
        <w:trPr>
          <w:tblHeader w:val="true"/>
          <w:cantSplit/>
        </w:trPr>
        <w:tc>
          <w:tcPr>
            <w:tcW w:type="dxa" w:w="205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Item</w:t>
            </w:r>
          </w:p>
        </w:tc>
        <w:tc>
          <w:tcPr>
            <w:tcW w:type="dxa" w:w="731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HZISL rule</w:t>
            </w:r>
          </w:p>
        </w:tc>
      </w:tr>
      <w:tr>
        <w:trPr>
          <w:cantSplit/>
        </w:trPr>
        <w:tc>
          <w:tcPr>
            <w:tcW w:type="dxa" w:w="205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Players</w:t>
            </w:r>
          </w:p>
        </w:tc>
        <w:tc>
          <w:tcPr>
            <w:tcW w:type="dxa" w:w="731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6 on court per team. A team must have 6 eligible players ready to start.</w:t>
            </w:r>
          </w:p>
        </w:tc>
      </w:tr>
      <w:tr>
        <w:trPr>
          <w:cantSplit/>
        </w:trPr>
        <w:tc>
          <w:tcPr>
            <w:tcW w:type="dxa" w:w="205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Matchday roster</w:t>
            </w:r>
          </w:p>
        </w:tc>
        <w:tc>
          <w:tcPr>
            <w:tcW w:type="dxa" w:w="731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Maximum 14 eligible players, including up to 2 designated liberos, plus authorized team staff.</w:t>
            </w:r>
          </w:p>
        </w:tc>
      </w:tr>
      <w:tr>
        <w:trPr>
          <w:cantSplit/>
        </w:trPr>
        <w:tc>
          <w:tcPr>
            <w:tcW w:type="dxa" w:w="205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Match format</w:t>
            </w:r>
          </w:p>
        </w:tc>
        <w:tc>
          <w:tcPr>
            <w:tcW w:type="dxa" w:w="731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Best of 3 sets. The first team to win 2 sets wins the match.</w:t>
            </w:r>
          </w:p>
        </w:tc>
      </w:tr>
      <w:tr>
        <w:trPr>
          <w:cantSplit/>
        </w:trPr>
        <w:tc>
          <w:tcPr>
            <w:tcW w:type="dxa" w:w="205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Set scoring</w:t>
            </w:r>
          </w:p>
        </w:tc>
        <w:tc>
          <w:tcPr>
            <w:tcW w:type="dxa" w:w="731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Sets 1 and 2 are played to 25 points; a deciding third set is played to 15. Every set must be won by 2 points, with no cap.</w:t>
            </w:r>
          </w:p>
        </w:tc>
      </w:tr>
      <w:tr>
        <w:trPr>
          <w:cantSplit/>
        </w:trPr>
        <w:tc>
          <w:tcPr>
            <w:tcW w:type="dxa" w:w="205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Intervals</w:t>
            </w:r>
          </w:p>
        </w:tc>
        <w:tc>
          <w:tcPr>
            <w:tcW w:type="dxa" w:w="731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3 minutes between sets. The referee may extend an interval only for safety or facility necessity.</w:t>
            </w:r>
          </w:p>
        </w:tc>
      </w:tr>
      <w:tr>
        <w:trPr>
          <w:cantSplit/>
        </w:trPr>
        <w:tc>
          <w:tcPr>
            <w:tcW w:type="dxa" w:w="205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League tie</w:t>
            </w:r>
          </w:p>
        </w:tc>
        <w:tc>
          <w:tcPr>
            <w:tcW w:type="dxa" w:w="731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A volleyball match cannot finish as a draw.</w:t>
            </w:r>
          </w:p>
        </w:tc>
      </w:tr>
    </w:tbl>
    <w:p>
      <w:pPr>
        <w:keepNext w:val="0"/>
        <w:spacing w:after="40"/>
      </w:pPr>
      <w:r>
        <w:rPr>
          <w:rFonts w:ascii="Calibri" w:hAnsi="Calibri" w:eastAsia="Calibri"/>
          <w:i w:val="0"/>
          <w:color w:val="0B2545"/>
        </w:rPr>
      </w:r>
    </w:p>
    <w:p>
      <w:pPr>
        <w:pStyle w:val="Heading1"/>
        <w:pageBreakBefore w:val="0"/>
      </w:pPr>
      <w:r>
        <w:t>3. Court, net and ball</w:t>
      </w:r>
    </w:p>
    <w:p>
      <w:pPr>
        <w:numPr>
          <w:ilvl w:val="0"/>
          <w:numId w:val="10"/>
        </w:numPr>
        <w:spacing w:after="80"/>
      </w:pPr>
      <w:r>
        <w:rPr>
          <w:rFonts w:ascii="Calibri" w:hAnsi="Calibri" w:eastAsia="Calibri"/>
          <w:color w:val="0B2545"/>
          <w:sz w:val="22"/>
        </w:rPr>
        <w:t>The host provides a safe 18 × 9 metre court where practicable, visible boundary lines, safe free space, protected posts, team benches and a controlled scorer’s table.</w:t>
      </w:r>
    </w:p>
    <w:p>
      <w:pPr>
        <w:numPr>
          <w:ilvl w:val="0"/>
          <w:numId w:val="10"/>
        </w:numPr>
        <w:spacing w:after="80"/>
      </w:pPr>
      <w:r>
        <w:rPr>
          <w:rFonts w:ascii="Calibri" w:hAnsi="Calibri" w:eastAsia="Calibri"/>
          <w:color w:val="0B2545"/>
          <w:sz w:val="22"/>
        </w:rPr>
        <w:t>Net height is 2.43 m for Boys divisions and 2.24 m for Girls divisions unless HZISL publishes a division-specific safety adjustment before the season.</w:t>
      </w:r>
    </w:p>
    <w:p>
      <w:pPr>
        <w:numPr>
          <w:ilvl w:val="0"/>
          <w:numId w:val="10"/>
        </w:numPr>
        <w:spacing w:after="80"/>
      </w:pPr>
      <w:r>
        <w:rPr>
          <w:rFonts w:ascii="Calibri" w:hAnsi="Calibri" w:eastAsia="Calibri"/>
          <w:color w:val="0B2545"/>
          <w:sz w:val="22"/>
        </w:rPr>
        <w:t>The host supplies an approved indoor volleyball in good condition and at least one serviceable spare of the same type.</w:t>
      </w:r>
    </w:p>
    <w:p>
      <w:pPr>
        <w:numPr>
          <w:ilvl w:val="0"/>
          <w:numId w:val="10"/>
        </w:numPr>
        <w:spacing w:after="80"/>
      </w:pPr>
      <w:r>
        <w:rPr>
          <w:rFonts w:ascii="Calibri" w:hAnsi="Calibri" w:eastAsia="Calibri"/>
          <w:color w:val="0B2545"/>
          <w:sz w:val="22"/>
        </w:rPr>
        <w:t>The referee may require hazards to be removed, adjust a non-material local marking issue with both coaches informed, or refuse an unsafe court.</w:t>
      </w:r>
    </w:p>
    <w:p>
      <w:pPr>
        <w:pStyle w:val="Heading1"/>
        <w:pageBreakBefore w:val="0"/>
      </w:pPr>
      <w:r>
        <w:t>4. Uniforms and equipment</w:t>
      </w:r>
    </w:p>
    <w:p>
      <w:pPr>
        <w:numPr>
          <w:ilvl w:val="0"/>
          <w:numId w:val="10"/>
        </w:numPr>
        <w:spacing w:after="80"/>
      </w:pPr>
      <w:r>
        <w:rPr>
          <w:rFonts w:ascii="Calibri" w:hAnsi="Calibri" w:eastAsia="Calibri"/>
          <w:color w:val="0B2545"/>
          <w:sz w:val="22"/>
        </w:rPr>
        <w:t>Teams wear matching numbered shirts and distinguishable colours. A libero wears a clearly contrasting shirt.</w:t>
      </w:r>
    </w:p>
    <w:p>
      <w:pPr>
        <w:numPr>
          <w:ilvl w:val="0"/>
          <w:numId w:val="10"/>
        </w:numPr>
        <w:spacing w:after="80"/>
      </w:pPr>
      <w:r>
        <w:rPr>
          <w:rFonts w:ascii="Calibri" w:hAnsi="Calibri" w:eastAsia="Calibri"/>
          <w:color w:val="0B2545"/>
          <w:sz w:val="22"/>
        </w:rPr>
        <w:t>Non-marking court footwear is required. Knee pads are strongly recommended.</w:t>
      </w:r>
    </w:p>
    <w:p>
      <w:pPr>
        <w:numPr>
          <w:ilvl w:val="0"/>
          <w:numId w:val="10"/>
        </w:numPr>
        <w:spacing w:after="80"/>
      </w:pPr>
      <w:r>
        <w:rPr>
          <w:rFonts w:ascii="Calibri" w:hAnsi="Calibri" w:eastAsia="Calibri"/>
          <w:color w:val="0B2545"/>
          <w:sz w:val="22"/>
        </w:rPr>
        <w:t>Jewellery and unsafe equipment are not permitted. Medical or religious coverings must be safe and approved at the referee’s inspection.</w:t>
      </w:r>
    </w:p>
    <w:p>
      <w:pPr>
        <w:numPr>
          <w:ilvl w:val="0"/>
          <w:numId w:val="10"/>
        </w:numPr>
        <w:spacing w:after="80"/>
      </w:pPr>
      <w:r>
        <w:rPr>
          <w:rFonts w:ascii="Calibri" w:hAnsi="Calibri" w:eastAsia="Calibri"/>
          <w:color w:val="0B2545"/>
          <w:sz w:val="22"/>
        </w:rPr>
        <w:t>If colours conflict, the home team changes or uses safe numbered bibs unless another solution was agreed in advance.</w:t>
      </w:r>
    </w:p>
    <w:p>
      <w:pPr>
        <w:pStyle w:val="Heading1"/>
        <w:pageBreakBefore w:val="0"/>
      </w:pPr>
      <w:r>
        <w:t>5. Rotation, service and playing the ball</w:t>
      </w:r>
    </w:p>
    <w:p>
      <w:pPr>
        <w:numPr>
          <w:ilvl w:val="0"/>
          <w:numId w:val="10"/>
        </w:numPr>
        <w:spacing w:after="80"/>
      </w:pPr>
      <w:r>
        <w:rPr>
          <w:rFonts w:ascii="Calibri" w:hAnsi="Calibri" w:eastAsia="Calibri"/>
          <w:color w:val="0B2545"/>
          <w:sz w:val="22"/>
        </w:rPr>
        <w:t>Rally scoring is used. The team winning a rally scores 1 point and serves next.</w:t>
      </w:r>
    </w:p>
    <w:p>
      <w:pPr>
        <w:numPr>
          <w:ilvl w:val="0"/>
          <w:numId w:val="10"/>
        </w:numPr>
        <w:spacing w:after="80"/>
      </w:pPr>
      <w:r>
        <w:rPr>
          <w:rFonts w:ascii="Calibri" w:hAnsi="Calibri" w:eastAsia="Calibri"/>
          <w:color w:val="0B2545"/>
          <w:sz w:val="22"/>
        </w:rPr>
        <w:t>Six starting players rotate one position clockwise when their team wins the right to serve after receiving.</w:t>
      </w:r>
    </w:p>
    <w:p>
      <w:pPr>
        <w:numPr>
          <w:ilvl w:val="0"/>
          <w:numId w:val="10"/>
        </w:numPr>
        <w:spacing w:after="80"/>
      </w:pPr>
      <w:r>
        <w:rPr>
          <w:rFonts w:ascii="Calibri" w:hAnsi="Calibri" w:eastAsia="Calibri"/>
          <w:color w:val="0B2545"/>
          <w:sz w:val="22"/>
        </w:rPr>
        <w:t>A team may use up to 3 contacts to return the ball, in addition to a block contact. A player may not make two consecutive contacts except where FIVB rules permit it after a block or on one continuous action.</w:t>
      </w:r>
    </w:p>
    <w:p>
      <w:pPr>
        <w:numPr>
          <w:ilvl w:val="0"/>
          <w:numId w:val="10"/>
        </w:numPr>
        <w:spacing w:after="80"/>
      </w:pPr>
      <w:r>
        <w:rPr>
          <w:rFonts w:ascii="Calibri" w:hAnsi="Calibri" w:eastAsia="Calibri"/>
          <w:color w:val="0B2545"/>
          <w:sz w:val="22"/>
        </w:rPr>
        <w:t>The ball may touch the net while crossing on service or during a rally. A served ball must be contacted from behind the end line after the referee’s authorization.</w:t>
      </w:r>
    </w:p>
    <w:p>
      <w:pPr>
        <w:numPr>
          <w:ilvl w:val="0"/>
          <w:numId w:val="10"/>
        </w:numPr>
        <w:spacing w:after="80"/>
      </w:pPr>
      <w:r>
        <w:rPr>
          <w:rFonts w:ascii="Calibri" w:hAnsi="Calibri" w:eastAsia="Calibri"/>
          <w:color w:val="0B2545"/>
          <w:sz w:val="22"/>
        </w:rPr>
        <w:t>Position, rotation, service order, net-contact, centre-line, attack-line and back-row restrictions follow the FIVB baseline.</w:t>
      </w:r>
    </w:p>
    <w:p>
      <w:pPr>
        <w:pStyle w:val="Heading1"/>
        <w:pageBreakBefore w:val="0"/>
      </w:pPr>
      <w:r>
        <w:t>6. Unlimited substitutions and libero</w:t>
      </w:r>
    </w:p>
    <w:p>
      <w:pPr>
        <w:numPr>
          <w:ilvl w:val="0"/>
          <w:numId w:val="10"/>
        </w:numPr>
        <w:spacing w:after="80"/>
      </w:pPr>
      <w:r>
        <w:rPr>
          <w:rFonts w:ascii="Calibri" w:hAnsi="Calibri" w:eastAsia="Calibri"/>
          <w:color w:val="0B2545"/>
          <w:sz w:val="22"/>
        </w:rPr>
        <w:t>There is no limit on the number of substitutions in a set or match. A substituted player may return later and may exchange with any eligible teammate.</w:t>
      </w:r>
    </w:p>
    <w:p>
      <w:pPr>
        <w:numPr>
          <w:ilvl w:val="0"/>
          <w:numId w:val="10"/>
        </w:numPr>
        <w:spacing w:after="80"/>
      </w:pPr>
      <w:r>
        <w:rPr>
          <w:rFonts w:ascii="Calibri" w:hAnsi="Calibri" w:eastAsia="Calibri"/>
          <w:color w:val="0B2545"/>
          <w:sz w:val="22"/>
        </w:rPr>
        <w:t>Substitutions occur only while the ball is out of play, after the scorer is ready and the referee authorizes entry. Teams must not use repeated requests to delay play.</w:t>
      </w:r>
    </w:p>
    <w:p>
      <w:pPr>
        <w:numPr>
          <w:ilvl w:val="0"/>
          <w:numId w:val="10"/>
        </w:numPr>
        <w:spacing w:after="80"/>
      </w:pPr>
      <w:r>
        <w:rPr>
          <w:rFonts w:ascii="Calibri" w:hAnsi="Calibri" w:eastAsia="Calibri"/>
          <w:color w:val="0B2545"/>
          <w:sz w:val="22"/>
        </w:rPr>
        <w:t>All substitutions are recorded by the scorer even though they are unlimited. A player may participate only if named on the certified matchday roster.</w:t>
      </w:r>
    </w:p>
    <w:p>
      <w:pPr>
        <w:numPr>
          <w:ilvl w:val="0"/>
          <w:numId w:val="10"/>
        </w:numPr>
        <w:spacing w:after="80"/>
      </w:pPr>
      <w:r>
        <w:rPr>
          <w:rFonts w:ascii="Calibri" w:hAnsi="Calibri" w:eastAsia="Calibri"/>
          <w:color w:val="0B2545"/>
          <w:sz w:val="22"/>
        </w:rPr>
        <w:t>Libero replacements are not counted as substitutions and otherwise follow FIVB libero procedure, including contrasting uniform and back-row restrictions.</w:t>
      </w:r>
    </w:p>
    <w:p>
      <w:pPr>
        <w:numPr>
          <w:ilvl w:val="0"/>
          <w:numId w:val="10"/>
        </w:numPr>
        <w:spacing w:after="80"/>
      </w:pPr>
      <w:r>
        <w:rPr>
          <w:rFonts w:ascii="Calibri" w:hAnsi="Calibri" w:eastAsia="Calibri"/>
          <w:color w:val="0B2545"/>
          <w:sz w:val="22"/>
        </w:rPr>
        <w:t>A suspected concussion or serious injury is managed under the school medical protocol; student welfare overrides competitive considerations.</w:t>
      </w:r>
    </w:p>
    <w:p>
      <w:pPr>
        <w:pStyle w:val="Heading1"/>
        <w:pageBreakBefore w:val="0"/>
      </w:pPr>
      <w:r>
        <w:t>7. Time-outs, officials and conduct</w:t>
      </w:r>
    </w:p>
    <w:p>
      <w:pPr>
        <w:numPr>
          <w:ilvl w:val="0"/>
          <w:numId w:val="10"/>
        </w:numPr>
        <w:spacing w:after="80"/>
      </w:pPr>
      <w:r>
        <w:rPr>
          <w:rFonts w:ascii="Calibri" w:hAnsi="Calibri" w:eastAsia="Calibri"/>
          <w:color w:val="0B2545"/>
          <w:sz w:val="22"/>
        </w:rPr>
        <w:t>Each team may request 2 time-outs of 30 seconds in each set. Unused time-outs do not carry to another set.</w:t>
      </w:r>
    </w:p>
    <w:p>
      <w:pPr>
        <w:numPr>
          <w:ilvl w:val="0"/>
          <w:numId w:val="10"/>
        </w:numPr>
        <w:spacing w:after="80"/>
      </w:pPr>
      <w:r>
        <w:rPr>
          <w:rFonts w:ascii="Calibri" w:hAnsi="Calibri" w:eastAsia="Calibri"/>
          <w:color w:val="0B2545"/>
          <w:sz w:val="22"/>
        </w:rPr>
        <w:t>The first referee controls play. The second referee and scorer support substitutions, rotations, time-outs, sanctions and the official score.</w:t>
      </w:r>
    </w:p>
    <w:p>
      <w:pPr>
        <w:numPr>
          <w:ilvl w:val="0"/>
          <w:numId w:val="10"/>
        </w:numPr>
        <w:spacing w:after="80"/>
      </w:pPr>
      <w:r>
        <w:rPr>
          <w:rFonts w:ascii="Calibri" w:hAnsi="Calibri" w:eastAsia="Calibri"/>
          <w:color w:val="0B2545"/>
          <w:sz w:val="22"/>
        </w:rPr>
        <w:t>Delay warnings, delay penalties, misconduct sanctions and expulsion/disqualification follow the FIVB baseline. Serious conduct is also reported under the HZISL discipline process.</w:t>
      </w:r>
    </w:p>
    <w:p>
      <w:pPr>
        <w:numPr>
          <w:ilvl w:val="0"/>
          <w:numId w:val="10"/>
        </w:numPr>
        <w:spacing w:after="80"/>
      </w:pPr>
      <w:r>
        <w:rPr>
          <w:rFonts w:ascii="Calibri" w:hAnsi="Calibri" w:eastAsia="Calibri"/>
          <w:color w:val="0B2545"/>
          <w:sz w:val="22"/>
        </w:rPr>
        <w:t>There is no video challenge system in HZISL matches. Referee decisions on facts connected with play are final.</w:t>
      </w:r>
    </w:p>
    <w:p>
      <w:pPr>
        <w:pStyle w:val="Heading1"/>
        <w:pageBreakBefore w:val="0"/>
      </w:pPr>
      <w:r>
        <w:t>8. Forfeit, suspension and safety</w:t>
      </w:r>
    </w:p>
    <w:p>
      <w:pPr>
        <w:numPr>
          <w:ilvl w:val="0"/>
          <w:numId w:val="10"/>
        </w:numPr>
        <w:spacing w:after="80"/>
      </w:pPr>
      <w:r>
        <w:rPr>
          <w:rFonts w:ascii="Calibri" w:hAnsi="Calibri" w:eastAsia="Calibri"/>
          <w:color w:val="0B2545"/>
          <w:sz w:val="22"/>
        </w:rPr>
        <w:t>A team unable to field 6 ready players within 15 minutes after the scheduled start normally forfeits 0–2, with sets recorded 0–25, subject to Coordinator review of exceptional circumstances.</w:t>
      </w:r>
    </w:p>
    <w:p>
      <w:pPr>
        <w:numPr>
          <w:ilvl w:val="0"/>
          <w:numId w:val="10"/>
        </w:numPr>
        <w:spacing w:after="80"/>
      </w:pPr>
      <w:r>
        <w:rPr>
          <w:rFonts w:ascii="Calibri" w:hAnsi="Calibri" w:eastAsia="Calibri"/>
          <w:color w:val="0B2545"/>
          <w:sz w:val="22"/>
        </w:rPr>
        <w:t>A team declared incomplete during play loses the set or match under the FIVB baseline, with the opponent receiving the points and sets needed to win.</w:t>
      </w:r>
    </w:p>
    <w:p>
      <w:pPr>
        <w:numPr>
          <w:ilvl w:val="0"/>
          <w:numId w:val="10"/>
        </w:numPr>
        <w:spacing w:after="80"/>
      </w:pPr>
      <w:r>
        <w:rPr>
          <w:rFonts w:ascii="Calibri" w:hAnsi="Calibri" w:eastAsia="Calibri"/>
          <w:color w:val="0B2545"/>
          <w:sz w:val="22"/>
        </w:rPr>
        <w:t>A match may be suspended for unsafe court conditions, medical emergency, facility intrusion, severe behaviour or another serious risk.</w:t>
      </w:r>
    </w:p>
    <w:p>
      <w:pPr>
        <w:numPr>
          <w:ilvl w:val="0"/>
          <w:numId w:val="10"/>
        </w:numPr>
        <w:spacing w:after="80"/>
      </w:pPr>
      <w:r>
        <w:rPr>
          <w:rFonts w:ascii="Calibri" w:hAnsi="Calibri" w:eastAsia="Calibri"/>
          <w:color w:val="0B2545"/>
          <w:sz w:val="22"/>
        </w:rPr>
        <w:t>The officials and host record the set score, point score and reason for a suspension. The Coordinator decides whether the match resumes, is replayed, stands or is forfeited.</w:t>
      </w:r>
    </w:p>
    <w:p>
      <w:pPr>
        <w:pStyle w:val="Heading1"/>
        <w:pageBreakBefore/>
      </w:pPr>
      <w:r>
        <w:t>9. Results and standings</w:t>
      </w:r>
    </w:p>
    <w:tbl>
      <w:tblPr>
        <w:tblW w:type="dxa" w:w="9360"/>
        <w:tblLayout w:type="fixed"/>
        <w:tblLook w:firstColumn="1" w:firstRow="1" w:lastColumn="0" w:lastRow="0" w:noHBand="0" w:noVBand="1" w:val="04A0"/>
        <w:jc w:val="left"/>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Ind w:w="120" w:type="dxa"/>
      </w:tblPr>
      <w:tblGrid>
        <w:gridCol w:w="6200"/>
        <w:gridCol w:w="3160"/>
      </w:tblGrid>
      <w:tr>
        <w:trPr>
          <w:tblHeader w:val="true"/>
          <w:cantSplit/>
        </w:trPr>
        <w:tc>
          <w:tcPr>
            <w:tcW w:type="dxa" w:w="620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Result</w:t>
            </w:r>
          </w:p>
        </w:tc>
        <w:tc>
          <w:tcPr>
            <w:tcW w:type="dxa" w:w="3160"/>
            <w:shd w:fill="E8EEF5" w:val="clear"/>
            <w:vAlign w:val="center"/>
            <w:tcMar>
              <w:top w:w="80" w:type="dxa"/>
              <w:bottom w:w="80" w:type="dxa"/>
              <w:start w:w="120" w:type="dxa"/>
              <w:end w:w="120" w:type="dxa"/>
            </w:tcMar>
          </w:tcPr>
          <w:p>
            <w:pPr>
              <w:spacing w:before="0" w:after="0" w:line="259" w:lineRule="auto"/>
              <w:jc w:val="center"/>
            </w:pPr>
            <w:r>
              <w:rPr>
                <w:rFonts w:ascii="Calibri" w:hAnsi="Calibri" w:eastAsia="Calibri"/>
                <w:b/>
                <w:color w:val="003478"/>
                <w:sz w:val="18"/>
              </w:rPr>
              <w:t>League points</w:t>
            </w:r>
          </w:p>
        </w:tc>
      </w:tr>
      <w:tr>
        <w:trPr>
          <w:cantSplit/>
        </w:trPr>
        <w:tc>
          <w:tcPr>
            <w:tcW w:type="dxa" w:w="62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Win</w:t>
            </w:r>
          </w:p>
        </w:tc>
        <w:tc>
          <w:tcPr>
            <w:tcW w:type="dxa" w:w="3160"/>
            <w:vAlign w:val="center"/>
            <w:tcMar>
              <w:top w:w="80" w:type="dxa"/>
              <w:bottom w:w="80" w:type="dxa"/>
              <w:start w:w="120" w:type="dxa"/>
              <w:end w:w="120" w:type="dxa"/>
            </w:tcMar>
          </w:tcPr>
          <w:p>
            <w:pPr>
              <w:spacing w:before="0" w:after="0" w:line="259" w:lineRule="auto"/>
              <w:jc w:val="center"/>
            </w:pPr>
            <w:r>
              <w:rPr>
                <w:rFonts w:ascii="Calibri" w:hAnsi="Calibri" w:eastAsia="Calibri"/>
                <w:b w:val="0"/>
                <w:color w:val="0B2545"/>
                <w:sz w:val="18"/>
              </w:rPr>
              <w:t>2</w:t>
            </w:r>
          </w:p>
        </w:tc>
      </w:tr>
      <w:tr>
        <w:trPr>
          <w:cantSplit/>
        </w:trPr>
        <w:tc>
          <w:tcPr>
            <w:tcW w:type="dxa" w:w="62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Loss after playing</w:t>
            </w:r>
          </w:p>
        </w:tc>
        <w:tc>
          <w:tcPr>
            <w:tcW w:type="dxa" w:w="3160"/>
            <w:vAlign w:val="center"/>
            <w:tcMar>
              <w:top w:w="80" w:type="dxa"/>
              <w:bottom w:w="80" w:type="dxa"/>
              <w:start w:w="120" w:type="dxa"/>
              <w:end w:w="120" w:type="dxa"/>
            </w:tcMar>
          </w:tcPr>
          <w:p>
            <w:pPr>
              <w:spacing w:before="0" w:after="0" w:line="259" w:lineRule="auto"/>
              <w:jc w:val="center"/>
            </w:pPr>
            <w:r>
              <w:rPr>
                <w:rFonts w:ascii="Calibri" w:hAnsi="Calibri" w:eastAsia="Calibri"/>
                <w:b w:val="0"/>
                <w:color w:val="0B2545"/>
                <w:sz w:val="18"/>
              </w:rPr>
              <w:t>1</w:t>
            </w:r>
          </w:p>
        </w:tc>
      </w:tr>
      <w:tr>
        <w:trPr>
          <w:cantSplit/>
        </w:trPr>
        <w:tc>
          <w:tcPr>
            <w:tcW w:type="dxa" w:w="62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Forfeit/default</w:t>
            </w:r>
          </w:p>
        </w:tc>
        <w:tc>
          <w:tcPr>
            <w:tcW w:type="dxa" w:w="3160"/>
            <w:vAlign w:val="center"/>
            <w:tcMar>
              <w:top w:w="80" w:type="dxa"/>
              <w:bottom w:w="80" w:type="dxa"/>
              <w:start w:w="120" w:type="dxa"/>
              <w:end w:w="120" w:type="dxa"/>
            </w:tcMar>
          </w:tcPr>
          <w:p>
            <w:pPr>
              <w:spacing w:before="0" w:after="0" w:line="259" w:lineRule="auto"/>
              <w:jc w:val="center"/>
            </w:pPr>
            <w:r>
              <w:rPr>
                <w:rFonts w:ascii="Calibri" w:hAnsi="Calibri" w:eastAsia="Calibri"/>
                <w:b w:val="0"/>
                <w:color w:val="0B2545"/>
                <w:sz w:val="18"/>
              </w:rPr>
              <w:t>0</w:t>
            </w:r>
          </w:p>
        </w:tc>
      </w:tr>
    </w:tbl>
    <w:p>
      <w:pPr>
        <w:keepNext w:val="0"/>
        <w:spacing w:after="40"/>
      </w:pPr>
      <w:r>
        <w:rPr>
          <w:rFonts w:ascii="Calibri" w:hAnsi="Calibri" w:eastAsia="Calibri"/>
          <w:i w:val="0"/>
          <w:color w:val="0B2545"/>
        </w:rPr>
      </w:r>
    </w:p>
    <w:p>
      <w:pPr>
        <w:keepNext w:val="0"/>
      </w:pPr>
      <w:r>
        <w:rPr>
          <w:rFonts w:ascii="Calibri" w:hAnsi="Calibri" w:eastAsia="Calibri"/>
          <w:i w:val="0"/>
          <w:color w:val="0B2545"/>
        </w:rPr>
        <w:t>Teams are ranked by league points, then matches won, head-to-head result among tied teams, set difference, point difference, sets won, points scored and, if still required for a final placing, a neutral playoff or draw determined by the Council.</w:t>
      </w:r>
    </w:p>
    <w:p>
      <w:pPr>
        <w:pStyle w:val="Heading1"/>
        <w:pageBreakBefore w:val="0"/>
      </w:pPr>
      <w:r>
        <w:t>10. Match report and protest</w:t>
      </w:r>
    </w:p>
    <w:p>
      <w:pPr>
        <w:numPr>
          <w:ilvl w:val="0"/>
          <w:numId w:val="12"/>
        </w:numPr>
        <w:spacing w:after="80"/>
      </w:pPr>
      <w:r>
        <w:rPr>
          <w:rFonts w:ascii="Calibri" w:hAnsi="Calibri" w:eastAsia="Calibri"/>
          <w:color w:val="0B2545"/>
          <w:sz w:val="22"/>
        </w:rPr>
        <w:t>The scorer and referee crew reconcile each set score, the final sets won, substitutions, sanctions and exceptional incidents.</w:t>
      </w:r>
    </w:p>
    <w:p>
      <w:pPr>
        <w:numPr>
          <w:ilvl w:val="0"/>
          <w:numId w:val="12"/>
        </w:numPr>
        <w:spacing w:after="80"/>
      </w:pPr>
      <w:r>
        <w:rPr>
          <w:rFonts w:ascii="Calibri" w:hAnsi="Calibri" w:eastAsia="Calibri"/>
          <w:color w:val="0B2545"/>
          <w:sz w:val="22"/>
        </w:rPr>
        <w:t>Both coaches review and sign the Official Match Report immediately after the match.</w:t>
      </w:r>
    </w:p>
    <w:p>
      <w:pPr>
        <w:numPr>
          <w:ilvl w:val="0"/>
          <w:numId w:val="12"/>
        </w:numPr>
        <w:spacing w:after="80"/>
      </w:pPr>
      <w:r>
        <w:rPr>
          <w:rFonts w:ascii="Calibri" w:hAnsi="Calibri" w:eastAsia="Calibri"/>
          <w:color w:val="0B2545"/>
          <w:sz w:val="22"/>
        </w:rPr>
        <w:t>A coach notes an intention to protest before signing when practicable; the school representative submits the written protest within 24 hours.</w:t>
      </w:r>
    </w:p>
    <w:p>
      <w:pPr>
        <w:numPr>
          <w:ilvl w:val="0"/>
          <w:numId w:val="12"/>
        </w:numPr>
        <w:spacing w:after="80"/>
      </w:pPr>
      <w:r>
        <w:rPr>
          <w:rFonts w:ascii="Calibri" w:hAnsi="Calibri" w:eastAsia="Calibri"/>
          <w:color w:val="0B2545"/>
          <w:sz w:val="22"/>
        </w:rPr>
        <w:t>A protest may concern eligibility, administration or a rules-application error. It does not reopen an ordinary referee judgement on facts connected with play.</w:t>
      </w:r>
    </w:p>
    <w:p>
      <w:pPr>
        <w:pStyle w:val="Heading1"/>
        <w:pageBreakBefore w:val="0"/>
      </w:pPr>
      <w:r>
        <w:t>Official references</w:t>
      </w:r>
    </w:p>
    <w:p>
      <w:pPr>
        <w:numPr>
          <w:ilvl w:val="0"/>
          <w:numId w:val="10"/>
        </w:numPr>
        <w:spacing w:after="80"/>
      </w:pPr>
      <w:r>
        <w:rPr>
          <w:rFonts w:ascii="Calibri" w:hAnsi="Calibri" w:eastAsia="Calibri"/>
          <w:b/>
          <w:color w:val="0B2545"/>
          <w:sz w:val="19"/>
        </w:rPr>
        <w:t xml:space="preserve">FIVB Official Volleyball Rules 2025–2028: </w:t>
      </w:r>
      <w:hyperlink r:id="rId12">
        <w:r>
          <w:rPr>
            <w:rFonts w:ascii="Calibri" w:hAnsi="Calibri"/>
            <w:color w:val="2E74B5"/>
            <w:u w:val="single"/>
          </w:rPr>
          <w:t>Official source</w:t>
        </w:r>
      </w:hyperlink>
      <w:r>
        <w:rPr>
          <w:rFonts w:ascii="Calibri" w:hAnsi="Calibri" w:eastAsia="Calibri"/>
          <w:color w:val="526173"/>
          <w:sz w:val="19"/>
        </w:rPr>
        <w:t xml:space="preserve"> — the international baseline for HZISL volleyball</w:t>
      </w:r>
    </w:p>
    <w:p>
      <w:pPr>
        <w:numPr>
          <w:ilvl w:val="0"/>
          <w:numId w:val="10"/>
        </w:numPr>
        <w:spacing w:after="80"/>
      </w:pPr>
      <w:r>
        <w:rPr>
          <w:rFonts w:ascii="Calibri" w:hAnsi="Calibri" w:eastAsia="Calibri"/>
          <w:b/>
          <w:color w:val="0B2545"/>
          <w:sz w:val="19"/>
        </w:rPr>
        <w:t xml:space="preserve">FIVB basic rules: </w:t>
      </w:r>
      <w:hyperlink r:id="rId13">
        <w:r>
          <w:rPr>
            <w:rFonts w:ascii="Calibri" w:hAnsi="Calibri"/>
            <w:color w:val="2E74B5"/>
            <w:u w:val="single"/>
          </w:rPr>
          <w:t>Official source</w:t>
        </w:r>
      </w:hyperlink>
      <w:r>
        <w:rPr>
          <w:rFonts w:ascii="Calibri" w:hAnsi="Calibri" w:eastAsia="Calibri"/>
          <w:color w:val="526173"/>
          <w:sz w:val="19"/>
        </w:rPr>
        <w:t xml:space="preserve"> — official overview of scoring, rotation and play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left"/>
      </w:tabs>
      <w:spacing w:before="0" w:after="0"/>
    </w:pPr>
    <w:r>
      <w:rPr>
        <w:rFonts w:ascii="Calibri" w:hAnsi="Calibri" w:eastAsia="Calibri"/>
        <w:color w:val="526173"/>
        <w:sz w:val="17"/>
      </w:rPr>
      <w:t>Official competition document  •  v1.1  •  15 August 2026</w:t>
    </w:r>
    <w:r>
      <w:rPr>
        <w:rFonts w:ascii="Calibri" w:hAnsi="Calibri" w:eastAsia="Calibri"/>
        <w:color w:val="526173"/>
        <w:sz w:val="17"/>
      </w:rPr>
      <w:tab/>
      <w:t xml:space="preserve">Page </w:t>
    </w:r>
    <w:r>
      <w:rPr>
        <w:rFonts w:ascii="Calibri" w:hAnsi="Calibri" w:eastAsia="Calibri"/>
        <w:color w:val="5261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29184" cy="329184"/>
          <wp:docPr id="1" name="Picture 1" descr="HZISL league logo"/>
          <wp:cNvGraphicFramePr>
            <a:graphicFrameLocks noChangeAspect="1"/>
          </wp:cNvGraphicFramePr>
          <a:graphic>
            <a:graphicData uri="http://schemas.openxmlformats.org/drawingml/2006/picture">
              <pic:pic>
                <pic:nvPicPr>
                  <pic:cNvPr id="0" name="hzisl-volleyball.png"/>
                  <pic:cNvPicPr/>
                </pic:nvPicPr>
                <pic:blipFill>
                  <a:blip r:embed="rId1"/>
                  <a:stretch>
                    <a:fillRect/>
                  </a:stretch>
                </pic:blipFill>
                <pic:spPr>
                  <a:xfrm>
                    <a:off x="0" y="0"/>
                    <a:ext cx="329184" cy="329184"/>
                  </a:xfrm>
                  <a:prstGeom prst="rect"/>
                </pic:spPr>
              </pic:pic>
            </a:graphicData>
          </a:graphic>
        </wp:inline>
      </w:drawing>
    </w:r>
    <w:r>
      <w:rPr>
        <w:rFonts w:ascii="Calibri" w:hAnsi="Calibri" w:eastAsia="Calibri"/>
        <w:b/>
        <w:color w:val="526173"/>
        <w:sz w:val="17"/>
      </w:rPr>
      <w:t xml:space="preserve">  HZISL  |  VOLLEYBALL RULES  |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color w:val="003478"/>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color w:val="003478"/>
      </w:rPr>
    </w:lvl>
  </w:abstractNum>
  <w:num w:numId="11">
    <w:abstractNumId w:val="10"/>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B254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lang w:val="en-US"/>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lang w:val="en-US"/>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003478"/>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03478"/>
      <w:spacing w:val="5"/>
      <w:kern w:val="28"/>
      <w:sz w:val="56"/>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pPr>
    <w:rPr>
      <w:rFonts w:asciiTheme="majorHAnsi" w:eastAsiaTheme="majorEastAsia" w:hAnsiTheme="majorHAnsi" w:cstheme="majorBidi" w:ascii="Calibri" w:hAnsi="Calibri" w:eastAsia="Calibri"/>
      <w:b w:val="0"/>
      <w:i/>
      <w:iCs/>
      <w:color w:val="526173"/>
      <w:spacing w:val="15"/>
      <w:sz w:val="27"/>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fivb.com/wp-content/uploads/2025/01/FIVB-Volleyball_Rules2025_2028-EN.pdf" TargetMode="External"/><Relationship Id="rId13" Type="http://schemas.openxmlformats.org/officeDocument/2006/relationships/hyperlink" Target="https://www.fivb.com/volleyball/the-game/basic-rul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Volleyball Competition Rules</dc:title>
  <dc:subject>HZISL 2026–27 competition document</dc:subject>
  <dc:creator>Hsinchu–Zhubei International Schools League</dc:creator>
  <cp:keywords>HZISL, interschool sports, football, basketball, volleyball</cp:keywords>
  <dc:description>Version 1.1; issued 15 August 2026; review 30 June 2027.</dc:description>
  <cp:lastModifiedBy/>
  <cp:revision>1</cp:revision>
  <dcterms:created xsi:type="dcterms:W3CDTF">2013-12-23T23:15:00Z</dcterms:created>
  <dcterms:modified xsi:type="dcterms:W3CDTF">2013-12-23T23:15:00Z</dcterms:modified>
  <cp:category/>
</cp:coreProperties>
</file>