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AF2"/>
  <w:body>
    <w:p>
      <w:pPr>
        <w:pStyle w:val="WSCKicker"/>
      </w:pPr>
      <w:r>
        <w:t>WSCAPP 2026 | SCHOLAR'S GUIDE</w:t>
      </w:r>
    </w:p>
    <w:p>
      <w:pPr>
        <w:pStyle w:val="Title"/>
      </w:pPr>
      <w:r>
        <w:rPr>
          <w:b w:val="0"/>
          <w:i w:val="0"/>
        </w:rPr>
        <w:t>Call of Duty-Free</w:t>
      </w:r>
    </w:p>
    <w:p>
      <w:pPr>
        <w:pStyle w:val="WSCSubtitle"/>
        <w:pBdr>
          <w:bottom w:val="single" w:sz="10" w:space="8" w:color="C89C44"/>
        </w:pBdr>
      </w:pPr>
      <w:r>
        <w:rPr>
          <w:b w:val="0"/>
          <w:i w:val="0"/>
        </w:rPr>
        <w:t>A guide to the places, systems, stories, and rules that make travel possible</w:t>
      </w:r>
    </w:p>
    <w:p>
      <w:pPr>
        <w:pStyle w:val="Heading1"/>
        <w:pBdr>
          <w:bottom w:val="single" w:sz="9" w:space="5" w:color="C89C44"/>
        </w:pBdr>
      </w:pPr>
      <w:r>
        <w:rPr>
          <w:b w:val="0"/>
          <w:i w:val="0"/>
        </w:rPr>
        <w:t>Before the journey begins</w:t>
      </w:r>
    </w:p>
    <w:p>
      <w:pPr/>
      <w:r>
        <w:rPr>
          <w:b w:val="0"/>
          <w:i w:val="0"/>
        </w:rPr>
        <w:t>A journey looks simple when it is drawn as a line between two points. A person leaves home, crosses a distance, and arrives. A parcel is ordered, moves across a map, and reaches a doorstep. Tourism advertisements make both stories feel almost effortless. They show the hotel room after it has been cleaned, the airplane after it has left the gate, and the parcel after it has appeared beside the front door. They rarely show the long chain of temporary stops that made the arrival possible.</w:t>
      </w:r>
    </w:p>
    <w:p>
      <w:pPr/>
      <w:r>
        <w:rPr>
          <w:b w:val="0"/>
          <w:i/>
        </w:rPr>
        <w:t>Call of Duty-Free</w:t>
      </w:r>
      <w:r>
        <w:rPr>
          <w:b w:val="0"/>
          <w:i w:val="0"/>
        </w:rPr>
        <w:t xml:space="preserve"> is about that hidden chain. Its six official branches begin with places where travellers sleep, then follow the rise of leisure travel, mass tourism, nostalgia, and the search for supposedly authentic experiences. The final branch changes the traveller from a person into a good. At first, a hotel and a transshipment port seem to have little in common. Look more closely and they perform a related kind of work. Both receive something that has not yet reached its final destination. Both provide a controlled pause. Both can sort, protect, redirect, charge, exclude, or welcome. Neither is merely empty space between the beginning and the end.</w:t>
      </w:r>
    </w:p>
    <w:p>
      <w:pPr/>
      <w:r>
        <w:rPr>
          <w:b w:val="0"/>
          <w:i w:val="0"/>
        </w:rPr>
        <w:t>The official WSC prompts and the pages linked inside them must be read as one curriculum. The prompt supplies the question, while the linked article or video often supplies the case, mechanism, and complication that an official-round question can test. This chapter therefore does not treat a link as optional background. It brings the useful details into the explanation itself, then shows how they connect to the rest of the section.</w:t>
      </w:r>
    </w:p>
    <w:p>
      <w:pPr>
        <w:pStyle w:val="Heading1"/>
        <w:pageBreakBefore/>
        <w:pBdr>
          <w:bottom w:val="single" w:sz="9" w:space="5" w:color="C89C44"/>
        </w:pBdr>
      </w:pPr>
      <w:r>
        <w:rPr>
          <w:b w:val="0"/>
          <w:i w:val="0"/>
        </w:rPr>
        <w:t>Chapter 1 - From route shelter to the modern hotel</w:t>
      </w:r>
    </w:p>
    <w:p>
      <w:pPr/>
      <w:r>
        <w:rPr>
          <w:b w:val="0"/>
          <w:i w:val="0"/>
        </w:rPr>
        <w:t>The first branch begins with an ordinary human problem. Long before a traveller could open an app and reserve a room, anyone moving across a long distance needed a place to stop. A road without water, food, shelter, information, and safety is not a complete transport system. If horses carry the traveller, the animals also need rest and replacement. If the traveller carries goods, those goods need storage and protection. If the route crosses a desert, mountain pass, or dangerous frontier, the location and design of the stop may determine whether the next stage of the journey is possible at all.</w:t>
      </w:r>
    </w:p>
    <w:p>
      <w:pPr>
        <w:pStyle w:val="Heading2"/>
      </w:pPr>
      <w:r>
        <w:rPr>
          <w:b w:val="0"/>
          <w:i w:val="0"/>
        </w:rPr>
        <w:t>Different stops solved different problems</w:t>
      </w:r>
    </w:p>
    <w:p>
      <w:pPr/>
      <w:r>
        <w:rPr>
          <w:b w:val="0"/>
          <w:i w:val="0"/>
        </w:rPr>
        <w:t>The linked history of inns and hotels begins its timeline in the ancient cities of Mesopotamia, where merchants and officials created demand for lodging. Its larger lesson is more important than the claim to a single first inn. Accommodation developed wherever movement became regular enough to require support. Yet the institutions that appeared along different routes were not interchangeable.</w:t>
      </w:r>
    </w:p>
    <w:p>
      <w:pPr/>
      <w:r>
        <w:rPr>
          <w:b w:val="0"/>
          <w:i w:val="0"/>
        </w:rPr>
        <w:t xml:space="preserve">A post house belonged to a relay system. Its defining purpose was not to offer a memorable night, but to keep riders, official messages, mail, or scheduled transport moving. Fresh horses, route information, and reliable intervals mattered more than luxury. Roman </w:t>
      </w:r>
      <w:r>
        <w:rPr>
          <w:b w:val="0"/>
          <w:i/>
        </w:rPr>
        <w:t>mansiones</w:t>
      </w:r>
      <w:r>
        <w:rPr>
          <w:b w:val="0"/>
          <w:i w:val="0"/>
        </w:rPr>
        <w:t xml:space="preserve"> performed a related role along imperial roads, particularly for officials, soldiers, and authorized travellers. The road network and the lodging network worked together. A paved road could move an army or a message only if the people and animals travelling on it could recover along the way.</w:t>
      </w:r>
    </w:p>
    <w:p>
      <w:pPr/>
      <w:r>
        <w:rPr>
          <w:b w:val="0"/>
          <w:i w:val="0"/>
        </w:rPr>
        <w:t>A caravanserai served a different scale of journey. It supported a caravan rather than one rider. A protected complex could provide water, food, rooms, stables, storage, and security for merchants, animals, and goods. The central courtyard often made it possible to bring pack animals and cargo inside the defended space. UNESCO's material on the Persian Caravanserai emphasizes that these buildings were not copied from one universal design. Their placement and architecture responded to distance, climate, water, terrain, and danger. A route through a dry region demanded different solutions from one crossing colder or more mountainous ground.</w:t>
      </w:r>
    </w:p>
    <w:p>
      <w:pPr/>
      <w:r>
        <w:rPr>
          <w:b w:val="0"/>
          <w:i w:val="0"/>
        </w:rPr>
        <w:t>The caravanserai was also more than a place to sleep. When merchants from different regions stopped together, they exchanged prices, news, languages, customs, religious ideas, and practical knowledge. Trade did not carry only silk, spices, or metal. It carried information. This is why the caravanserai returns in the final chapter about goods in transit. It belongs to the history of hospitality because it housed people, and to the history of trade because it protected animals and inventory while connecting one market to another.</w:t>
      </w:r>
    </w:p>
    <w:p>
      <w:pPr/>
      <w:r>
        <w:rPr>
          <w:b w:val="0"/>
          <w:i w:val="0"/>
        </w:rPr>
        <w:t xml:space="preserve">Other forms of shelter operated under other rules. In Greek traditions of </w:t>
      </w:r>
      <w:r>
        <w:rPr>
          <w:b w:val="0"/>
          <w:i/>
        </w:rPr>
        <w:t>xenia</w:t>
      </w:r>
      <w:r>
        <w:rPr>
          <w:b w:val="0"/>
          <w:i w:val="0"/>
        </w:rPr>
        <w:t>, hospitality could be understood as a moral and sacred obligation between host and guest. Medieval monasteries often received pilgrims and travellers as an act of religious charity. Inns and taverns, by contrast, were commercial spaces run by laypeople. They sold food, drink, lodging, and sociability, and they could serve local residents as well as travellers. These forms overlapped in time. One did not simply disappear whenever a supposedly more modern one arrived.</w:t>
      </w:r>
    </w:p>
    <w:p>
      <w:pPr>
        <w:pStyle w:val="Heading2"/>
      </w:pPr>
      <w:r>
        <w:rPr>
          <w:b w:val="0"/>
          <w:i w:val="0"/>
        </w:rPr>
        <w:t>When accommodation became a specialized product</w:t>
      </w:r>
    </w:p>
    <w:p>
      <w:pPr/>
      <w:r>
        <w:rPr>
          <w:b w:val="0"/>
          <w:i w:val="0"/>
        </w:rPr>
        <w:t xml:space="preserve">The word </w:t>
      </w:r>
      <w:r>
        <w:rPr>
          <w:b w:val="0"/>
          <w:i/>
        </w:rPr>
        <w:t>hotel</w:t>
      </w:r>
      <w:r>
        <w:rPr>
          <w:b w:val="0"/>
          <w:i w:val="0"/>
        </w:rPr>
        <w:t xml:space="preserve"> comes through the French </w:t>
      </w:r>
      <w:r>
        <w:rPr>
          <w:b w:val="0"/>
          <w:i/>
        </w:rPr>
        <w:t>hôtel</w:t>
      </w:r>
      <w:r>
        <w:rPr>
          <w:b w:val="0"/>
          <w:i w:val="0"/>
        </w:rPr>
        <w:t>, once associated with a large town residence. Over time it came to describe a more specialized lodging business. The important shift was not the invention of a bed for sale. Inns had sold beds for centuries. A modern hotel increasingly offered private rooms, organized dining, predictable service, comfort, and a public identity of its own. The traveller might choose it because of its reputation, architecture, location, or social status, not simply because darkness had fallen.</w:t>
      </w:r>
    </w:p>
    <w:p>
      <w:pPr/>
      <w:r>
        <w:rPr>
          <w:b w:val="0"/>
          <w:i w:val="0"/>
        </w:rPr>
        <w:t>That transformation accelerated as travel changed. During the Renaissance and the expansion of elite European travel, wealthy guests expected better accommodation in cities such as Venice, Paris, and London. In the eighteenth century, coffeehouses, assembly rooms, and urban lodging became part of a larger social world in which travellers met, conducted business, and displayed manners. In the nineteenth century, railways and steamships brought more people to cities and stations on more predictable schedules. Hotels grew near those points of arrival. The great hotels of the late nineteenth century sold electric light, indoor plumbing, lifts, telephones, restaurants, and public rooms as signs that the future had already arrived inside the building.</w:t>
      </w:r>
    </w:p>
    <w:p>
      <w:pPr/>
      <w:r>
        <w:rPr>
          <w:b w:val="0"/>
          <w:i w:val="0"/>
        </w:rPr>
        <w:t>After the Second World War, hotel chains answered another travel problem: uncertainty. A traveller arriving in an unfamiliar city could recognize a brand and expect a similar bed, bathroom, booking process, and level of service. Standardization helped make travel easier for a growing middle class. Later, boutique hotels sold almost the opposite promise. Instead of reassuring guests that every property would feel familiar, they offered distinctive design, a smaller scale, or a stronger connection to local identity. Both models respond to the same question: what does a traveller want from a temporary home?</w:t>
      </w:r>
    </w:p>
    <w:p>
      <w:pPr/>
      <w:r>
        <w:rPr>
          <w:b w:val="0"/>
          <w:i w:val="0"/>
        </w:rPr>
        <w:t>Digital systems changed the answer again. Computerized reservations and global booking networks allowed rooms to be sold across borders. Online travel agencies and review sites transferred some power from hotel advertising to past guests, while also making hotels dependent on rankings and platforms. Today, keyless entry, automated check-in, fast internet, and smart room controls can feel like basic service rather than futuristic luxury. Environmental pressure has added another measure of quality: energy use, water consumption, waste, sourcing, and the relationship between a hotel and the community around it.</w:t>
      </w:r>
    </w:p>
    <w:p>
      <w:pPr>
        <w:pStyle w:val="Heading2"/>
      </w:pPr>
      <w:r>
        <w:rPr>
          <w:b w:val="0"/>
          <w:i w:val="0"/>
        </w:rPr>
        <w:t>The world's oldest hotel, with several asterisks</w:t>
      </w:r>
    </w:p>
    <w:p>
      <w:pPr/>
      <w:r>
        <w:rPr>
          <w:b w:val="0"/>
          <w:i w:val="0"/>
        </w:rPr>
        <w:t>The official video by Tom Scott visits Nishiyama Onsen Keiunkan, a hot-spring inn in Japan generally recognized by Guinness World Records as the world's oldest hotel. Its traditional founding date is 705. For roughly thirteen centuries, visitors have come to the area to bathe in its mineral water. The record is memorable, but the video is valuable because it spends most of its time making the record less simple.</w:t>
      </w:r>
    </w:p>
    <w:p>
      <w:pPr/>
      <w:r>
        <w:rPr>
          <w:b w:val="0"/>
          <w:i w:val="0"/>
        </w:rPr>
        <w:t xml:space="preserve">Scott expected a living museum, a place preserved at one historical moment for tourists to admire. Instead, he found a working </w:t>
      </w:r>
      <w:r>
        <w:rPr>
          <w:b w:val="0"/>
          <w:i/>
        </w:rPr>
        <w:t>ryokan</w:t>
      </w:r>
      <w:r>
        <w:rPr>
          <w:b w:val="0"/>
          <w:i w:val="0"/>
        </w:rPr>
        <w:t xml:space="preserve"> that had repeatedly changed. Guests still sleep on futons and eat at low Japanese-style tables, but they also have fast Wi-Fi and a gift shop. The current building is only a few decades old, and the operation has moved around the area over its long history. New springs excavated in 2005 increased the available hot water, while modern pumps and monitoring systems control temperature and quality. Continuity did not mean refusing change. Change was one of the conditions of continuity.</w:t>
      </w:r>
    </w:p>
    <w:p>
      <w:pPr/>
      <w:r>
        <w:rPr>
          <w:b w:val="0"/>
          <w:i w:val="0"/>
        </w:rPr>
        <w:t>The category of "oldest hotel" also depends on what counts as the same institution. The site was not always a hotel in the modern English sense; for much of its history it was a place to stay and take the waters. It was associated with the same family for fifty-two generations, but a recent succession involved a new corporate structure and a president outside the family. Another ancient Japanese company lost its place in the record after becoming a subsidiary rather than disappearing. The question is therefore not answered by a date alone. Is an institution the same because it keeps a name, serves a similar purpose, occupies a related place, preserves a tradition, retains a family, or remains legally continuous?</w:t>
      </w:r>
    </w:p>
    <w:p>
      <w:pPr/>
      <w:r>
        <w:rPr>
          <w:b w:val="0"/>
          <w:i w:val="0"/>
        </w:rPr>
        <w:t>This is the branch's deepest lesson. A shelter is not defined only by its age or appearance. Ask what it was built to do, who and what it supported, how it fitted into a route, and what had to change for it to survive. That same method will later distinguish a caravanserai from an entrepôt and a free zone from a duty-free shop.</w:t>
      </w:r>
    </w:p>
    <w:p>
      <w:pPr>
        <w:pStyle w:val="WSCSourceNote"/>
        <w:shd w:fill="F7EACC" w:val="clear"/>
        <w:pBdr>
          <w:left w:val="single" w:sz="14" w:space="6" w:color="C89C44"/>
        </w:pBdr>
      </w:pPr>
      <w:r>
        <w:rPr>
          <w:b/>
          <w:i w:val="0"/>
        </w:rPr>
        <w:t>Sources for this chapter:</w:t>
      </w:r>
      <w:r>
        <w:rPr>
          <w:b w:val="0"/>
          <w:i w:val="0"/>
        </w:rPr>
        <w:t xml:space="preserve"> The official WSC trail for this branch is the linked </w:t>
      </w:r>
      <w:hyperlink r:id="rId12">
        <w:r>
          <w:rPr>
            <w:rStyle w:val="WSCLink"/>
            <w:rFonts w:ascii="Georgia" w:hAnsi="Georgia" w:eastAsia="Georgia" w:cs="Georgia"/>
            <w:color w:val="825F1F"/>
            <w:u w:val="single"/>
          </w:rPr>
          <w:t>L211 - history of inns and hotels</w:t>
        </w:r>
      </w:hyperlink>
      <w:r>
        <w:rPr>
          <w:b w:val="0"/>
          <w:i w:val="0"/>
        </w:rPr>
        <w:t xml:space="preserve"> and Tom Scott's video, </w:t>
      </w:r>
      <w:hyperlink r:id="rId13">
        <w:r>
          <w:rPr>
            <w:rStyle w:val="WSCLink"/>
            <w:rFonts w:ascii="Georgia" w:hAnsi="Georgia" w:eastAsia="Georgia" w:cs="Georgia"/>
            <w:color w:val="825F1F"/>
            <w:u w:val="single"/>
          </w:rPr>
          <w:t>L212 - "Things are changing at the world's oldest hotel"</w:t>
        </w:r>
      </w:hyperlink>
      <w:r>
        <w:rPr>
          <w:b w:val="0"/>
          <w:i w:val="0"/>
        </w:rPr>
        <w:t xml:space="preserve">. The </w:t>
      </w:r>
      <w:hyperlink r:id="rId14">
        <w:r>
          <w:rPr>
            <w:rStyle w:val="WSCLink"/>
            <w:rFonts w:ascii="Georgia" w:hAnsi="Georgia" w:eastAsia="Georgia" w:cs="Georgia"/>
            <w:color w:val="825F1F"/>
            <w:u w:val="single"/>
          </w:rPr>
          <w:t>UNESCO Persian Caravanserai</w:t>
        </w:r>
      </w:hyperlink>
      <w:r>
        <w:rPr>
          <w:b w:val="0"/>
          <w:i w:val="0"/>
        </w:rPr>
        <w:t xml:space="preserve"> entry is needed to understand route design and cultural exchange, while </w:t>
      </w:r>
      <w:hyperlink r:id="rId15">
        <w:r>
          <w:rPr>
            <w:rStyle w:val="WSCLink"/>
            <w:rFonts w:ascii="Georgia" w:hAnsi="Georgia" w:eastAsia="Georgia" w:cs="Georgia"/>
            <w:color w:val="825F1F"/>
            <w:u w:val="single"/>
          </w:rPr>
          <w:t>Guinness World Records</w:t>
        </w:r>
      </w:hyperlink>
      <w:r>
        <w:rPr>
          <w:b w:val="0"/>
          <w:i w:val="0"/>
        </w:rPr>
        <w:t xml:space="preserve"> supports the record wording. The safest wording is "recognized as the oldest hotel," not "the same building and family business has operated unchanged since 705."</w:t>
      </w:r>
    </w:p>
    <w:p>
      <w:pPr>
        <w:pStyle w:val="Heading1"/>
        <w:pageBreakBefore/>
        <w:pBdr>
          <w:bottom w:val="single" w:sz="9" w:space="5" w:color="C89C44"/>
        </w:pBdr>
      </w:pPr>
      <w:r>
        <w:rPr>
          <w:b w:val="0"/>
          <w:i w:val="0"/>
        </w:rPr>
        <w:t>Chapter 2 - The Grand Tour: education, pleasure, and status</w:t>
      </w:r>
    </w:p>
    <w:p>
      <w:pPr/>
      <w:r>
        <w:rPr>
          <w:b w:val="0"/>
          <w:i w:val="0"/>
        </w:rPr>
        <w:t>Once routes and lodging could support longer journeys, travel could become something more than a response to necessity. People had long travelled for trade, government, war, migration, and pilgrimage. The Grand Tour helped establish a different idea: the journey itself could be a chosen cultural project. A young traveller might leave home not because a distant task required him to go, but because his education was considered incomplete until he had seen particular cities, artworks, ruins, and social worlds.</w:t>
      </w:r>
    </w:p>
    <w:p>
      <w:pPr>
        <w:pStyle w:val="Heading2"/>
      </w:pPr>
      <w:r>
        <w:rPr>
          <w:b w:val="0"/>
          <w:i w:val="0"/>
        </w:rPr>
        <w:t>A route through cultural power</w:t>
      </w:r>
    </w:p>
    <w:p>
      <w:pPr/>
      <w:r>
        <w:rPr>
          <w:b w:val="0"/>
          <w:i w:val="0"/>
        </w:rPr>
        <w:t xml:space="preserve">The classic Grand Tourist was a wealthy young British man travelling through continental Europe during the seventeenth or eighteenth century, often for months or years. That description needs the words </w:t>
      </w:r>
      <w:r>
        <w:rPr>
          <w:b w:val="0"/>
          <w:i/>
        </w:rPr>
        <w:t>wealthy</w:t>
      </w:r>
      <w:r>
        <w:rPr>
          <w:b w:val="0"/>
          <w:i w:val="0"/>
        </w:rPr>
        <w:t xml:space="preserve"> and </w:t>
      </w:r>
      <w:r>
        <w:rPr>
          <w:b w:val="0"/>
          <w:i/>
        </w:rPr>
        <w:t>young</w:t>
      </w:r>
      <w:r>
        <w:rPr>
          <w:b w:val="0"/>
          <w:i w:val="0"/>
        </w:rPr>
        <w:t xml:space="preserve"> as much as it needs </w:t>
      </w:r>
      <w:r>
        <w:rPr>
          <w:b w:val="0"/>
          <w:i/>
        </w:rPr>
        <w:t>British</w:t>
      </w:r>
      <w:r>
        <w:rPr>
          <w:b w:val="0"/>
          <w:i w:val="0"/>
        </w:rPr>
        <w:t>. The journey required time away from home, money for transport and lodging, servants or guides, access to credit, and family connections that could open doors. Later travellers included women and people from other northern European countries, but the model remained strongly associated with elite education and privilege.</w:t>
      </w:r>
    </w:p>
    <w:p>
      <w:pPr/>
      <w:r>
        <w:rPr>
          <w:b w:val="0"/>
          <w:i w:val="0"/>
        </w:rPr>
        <w:t>The route was not random sightseeing. Crossing the English Channel was itself slow and uncomfortable. Paris then offered French language, courtly manners, fashion, diplomacy, music, and entrance into elite society. For a young man expected to serve in government or represent his family, learning how to behave in Paris could be as important as studying a book. Lyon helped connect northern France to routes toward the Alps. The Alpine crossing marked both a physical ordeal and a symbolic passage into Italy.</w:t>
      </w:r>
    </w:p>
    <w:p>
      <w:pPr/>
      <w:r>
        <w:rPr>
          <w:b w:val="0"/>
          <w:i w:val="0"/>
        </w:rPr>
        <w:t>Venice presented a commercial republic built around water, spectacle, architecture, and painting. Florence offered Renaissance art and the history of powerful patrons. Rome brought the remains of the ancient world together with the authority and art of Catholic Europe. Naples added landscape, volcanic drama, and, after their excavation, the classical sites of Pompeii and Herculaneum. Some itineraries later continued through German university cities, the Low Countries, or Switzerland. A map of the tour is therefore also a map of what elite northern Europeans believed counted as culture.</w:t>
      </w:r>
    </w:p>
    <w:p>
      <w:pPr/>
      <w:r>
        <w:rPr>
          <w:b w:val="0"/>
          <w:i w:val="0"/>
        </w:rPr>
        <w:t>The tourist needed an infrastructure of people as well as places. Tutors were supposed to guide the educational programme. Local guides and professional couriers arranged movement and introductions. Letters of credit reduced the danger of carrying large amounts of cash through regions where robbery was a genuine risk. Artists and dealers supplied paintings, antiquities, prints, and souvenirs. Canaletto's carefully composed views of Venice are a useful example of art made within a tourism economy: the visitor could bring a recognizable, prestigious version of the city home.</w:t>
      </w:r>
    </w:p>
    <w:p>
      <w:pPr>
        <w:pStyle w:val="Heading2"/>
      </w:pPr>
      <w:r>
        <w:rPr>
          <w:b w:val="0"/>
          <w:i w:val="0"/>
        </w:rPr>
        <w:t>Learning was real, and so was the performance</w:t>
      </w:r>
    </w:p>
    <w:p>
      <w:pPr/>
      <w:r>
        <w:rPr>
          <w:b w:val="0"/>
          <w:i w:val="0"/>
        </w:rPr>
        <w:t>The Grand Tour was presented as the completion of an education. Travellers studied languages, architecture, literature, painting, sculpture, classical history, and diplomacy. They sketched, wrote journals, collected objects, and observed forms of government and religion different from those at home. The beauty of Italy and Switzerland influenced writers and artists. Architectural taste imported from the continent reshaped British houses and gardens.</w:t>
      </w:r>
    </w:p>
    <w:p>
      <w:pPr/>
      <w:r>
        <w:rPr>
          <w:b w:val="0"/>
          <w:i w:val="0"/>
        </w:rPr>
        <w:t>Yet the tour was never only a school. Drinking, gambling, sexual adventure, fashion, and social display belonged to its history too. Some tutors complained that their pupils neglected the serious programme. This is not an irrelevant scandal beside the educational story. It reveals that the tour functioned as a controlled interval between youth and adult responsibility. Far from home, the traveller could experiment with identity while still protected by wealth and connections.</w:t>
      </w:r>
    </w:p>
    <w:p>
      <w:pPr/>
      <w:r>
        <w:rPr>
          <w:b w:val="0"/>
          <w:i w:val="0"/>
        </w:rPr>
        <w:t>Education and status reinforced each other. Returning with paintings, classical knowledge, polished French, stories, and famous contacts demonstrated that the traveller had possessed the resources to be absent for a long time. The journey displayed leisure in the older sense: freedom from the need to work. Even genuine learning became evidence of class. The tourist did not merely say, "I know Italy." The collection in his house and the people he could name were meant to prove it.</w:t>
      </w:r>
    </w:p>
    <w:p>
      <w:pPr>
        <w:pStyle w:val="Heading2"/>
      </w:pPr>
      <w:r>
        <w:rPr>
          <w:b w:val="0"/>
          <w:i w:val="0"/>
        </w:rPr>
        <w:t>How the Grand Tour changed and survived</w:t>
      </w:r>
    </w:p>
    <w:p>
      <w:pPr/>
      <w:r>
        <w:rPr>
          <w:b w:val="0"/>
          <w:i w:val="0"/>
        </w:rPr>
        <w:t>War and politics could close the route. The French Revolution and Napoleonic conflicts made familiar itineraries dangerous or impossible. After European travel reopened, steamships and railways reduced time and cost. Organized tours and expanding guidebook industries helped people travel without the same family networks, tutors, or years of leisure. The Grand Tour did not suddenly turn into mass tourism, but it helped create a cultural expectation that travel could educate, refine, and transform. New transport and business systems later sold a shorter, standardized version of that promise to a larger public.</w:t>
      </w:r>
    </w:p>
    <w:p>
      <w:pPr/>
      <w:r>
        <w:rPr>
          <w:b w:val="0"/>
          <w:i w:val="0"/>
        </w:rPr>
        <w:t>Modern gap years, study-abroad programmes, graduation trips, language exchanges, and travel used for personal branding all preserve pieces of the Grand Tour. The comparison is strongest when it asks what work the journey performs. Does it mark a transition into adulthood? Does it promise cultural knowledge? Does it create contacts? Does it produce photographs and stories that display status? The comparison becomes weak if every young person travelling abroad is simply called a Grand Tourist. Modern travellers operate under different class structures, passport regimes, educational institutions, transport systems, and time limits.</w:t>
      </w:r>
    </w:p>
    <w:p>
      <w:pPr/>
      <w:r>
        <w:rPr>
          <w:b w:val="0"/>
          <w:i w:val="0"/>
        </w:rPr>
        <w:t>The branch also prepares the next question. The Grand Tour made leisure travel culturally influential, but it remained unavailable to most people. For tourism to become a mass activity, admiration for travel was not enough. Large groups needed affordable transport, paid time away from work, disposable income, accommodation, and businesses capable of assembling the pieces into a product.</w:t>
      </w:r>
    </w:p>
    <w:p>
      <w:pPr>
        <w:pStyle w:val="WSCSourceNote"/>
        <w:shd w:fill="F7EACC" w:val="clear"/>
        <w:pBdr>
          <w:left w:val="single" w:sz="14" w:space="6" w:color="C89C44"/>
        </w:pBdr>
      </w:pPr>
      <w:r>
        <w:rPr>
          <w:b/>
          <w:i w:val="0"/>
        </w:rPr>
        <w:t>Sources for this chapter:</w:t>
      </w:r>
      <w:r>
        <w:rPr>
          <w:b w:val="0"/>
          <w:i w:val="0"/>
        </w:rPr>
        <w:t xml:space="preserve"> The official links are </w:t>
      </w:r>
      <w:hyperlink r:id="rId16">
        <w:r>
          <w:rPr>
            <w:rStyle w:val="WSCLink"/>
            <w:rFonts w:ascii="Georgia" w:hAnsi="Georgia" w:eastAsia="Georgia" w:cs="Georgia"/>
            <w:color w:val="825F1F"/>
            <w:u w:val="single"/>
          </w:rPr>
          <w:t>L213 - Historic UK's account of the Grand Tour</w:t>
        </w:r>
      </w:hyperlink>
      <w:r>
        <w:rPr>
          <w:b w:val="0"/>
          <w:i w:val="0"/>
        </w:rPr>
        <w:t xml:space="preserve"> and </w:t>
      </w:r>
      <w:hyperlink r:id="rId17">
        <w:r>
          <w:rPr>
            <w:rStyle w:val="WSCLink"/>
            <w:rFonts w:ascii="Georgia" w:hAnsi="Georgia" w:eastAsia="Georgia" w:cs="Georgia"/>
            <w:color w:val="825F1F"/>
            <w:u w:val="single"/>
          </w:rPr>
          <w:t>L214 - the typical Grand Tour itinerary</w:t>
        </w:r>
      </w:hyperlink>
      <w:r>
        <w:rPr>
          <w:b w:val="0"/>
          <w:i w:val="0"/>
        </w:rPr>
        <w:t xml:space="preserve">. The </w:t>
      </w:r>
      <w:hyperlink r:id="rId18">
        <w:r>
          <w:rPr>
            <w:rStyle w:val="WSCLink"/>
            <w:rFonts w:ascii="Georgia" w:hAnsi="Georgia" w:eastAsia="Georgia" w:cs="Georgia"/>
            <w:color w:val="825F1F"/>
            <w:u w:val="single"/>
          </w:rPr>
          <w:t>Metropolitan Museum of Art's essay</w:t>
        </w:r>
      </w:hyperlink>
      <w:r>
        <w:rPr>
          <w:b w:val="0"/>
          <w:i w:val="0"/>
        </w:rPr>
        <w:t xml:space="preserve"> strengthens the art, collecting, and class dimension. These pages should be read spatially: each city represents a different kind of cultural capital, while the route between them reveals the money, time, credit, guidance, and risk hidden inside the word "tour."</w:t>
      </w:r>
    </w:p>
    <w:p>
      <w:pPr>
        <w:pStyle w:val="Heading1"/>
        <w:pageBreakBefore/>
        <w:pBdr>
          <w:bottom w:val="single" w:sz="9" w:space="5" w:color="C89C44"/>
        </w:pBdr>
      </w:pPr>
      <w:r>
        <w:rPr>
          <w:b w:val="0"/>
          <w:i w:val="0"/>
        </w:rPr>
        <w:t>Chapter 3 - How tourism became mass tourism</w:t>
      </w:r>
    </w:p>
    <w:p>
      <w:pPr/>
      <w:r>
        <w:rPr>
          <w:b w:val="0"/>
          <w:i w:val="0"/>
        </w:rPr>
        <w:t>The Grand Tour established an influential image of leisure travel, but an image does not move millions of people. Mass tourism became possible when several barriers fell together. Transport became faster and more regular. Workers gained recognized periods away from work. More households acquired disposable income. Tour operators learned to bundle complicated journeys into products that could be priced, advertised, and repeated. None of those changes was sufficient alone.</w:t>
      </w:r>
    </w:p>
    <w:p>
      <w:pPr>
        <w:pStyle w:val="Heading2"/>
      </w:pPr>
      <w:r>
        <w:rPr>
          <w:b w:val="0"/>
          <w:i w:val="0"/>
        </w:rPr>
        <w:t>Scale was built, not discovered</w:t>
      </w:r>
    </w:p>
    <w:p>
      <w:pPr/>
      <w:r>
        <w:rPr>
          <w:b w:val="0"/>
          <w:i w:val="0"/>
        </w:rPr>
        <w:t>BBC Bitesize defines mass tourism as large numbers of people visiting the same place at the same time. The final phrase matters. A million visitors spread across a large country and twelve months create a different pressure from the same number arriving at one beach during eight summer weekends. Mass tourism is therefore a story about concentration as well as total volume.</w:t>
      </w:r>
    </w:p>
    <w:p>
      <w:pPr/>
      <w:r>
        <w:rPr>
          <w:b w:val="0"/>
          <w:i w:val="0"/>
        </w:rPr>
        <w:t>Railways were one early engine of that concentration. A train could move more passengers on a timetable and deliver them to the same station. Seaside towns, mountain resorts, and cities could build accommodation and attractions around the expected flow. Ocean liners joined distant ports and turned the crossing itself into a stratified travel experience, with comfort and risk distributed by class. Cars later gave families more control over their route, while passenger aviation compressed journeys that once took days or weeks into hours.</w:t>
      </w:r>
    </w:p>
    <w:p>
      <w:pPr/>
      <w:r>
        <w:rPr>
          <w:b w:val="0"/>
          <w:i w:val="0"/>
        </w:rPr>
        <w:t>Technology did not create holiday time. In Britain, the Bank Holiday Act of 1871 and the Holidays with Pay Act of 1938 became landmarks in a much longer struggle to give workers recognized leisure time and, eventually, the means to use it. Similar changes occurred differently across countries. The central mechanism is simple: a cheap seat has little value to a person who cannot leave work, and a week away is impossible without enough income to cover both the trip and the bills waiting at home.</w:t>
      </w:r>
    </w:p>
    <w:p>
      <w:pPr/>
      <w:r>
        <w:rPr>
          <w:b w:val="0"/>
          <w:i w:val="0"/>
        </w:rPr>
        <w:t>Tour operators reduced a third barrier: uncertainty. A package holiday could combine transport, accommodation, transfers, meals, and local assistance. Instead of separately solving the problems of language, timetables, rooms, and unfamiliar money, the traveller bought one organized promise. That standardization lowered planning costs as well as financial costs. Later, budget airlines, online booking, travel television, and social platforms expanded the same system. They made destinations comparable, purchasable, and visible to enormous audiences.</w:t>
      </w:r>
    </w:p>
    <w:p>
      <w:pPr>
        <w:pStyle w:val="Heading2"/>
      </w:pPr>
      <w:r>
        <w:rPr>
          <w:b w:val="0"/>
          <w:i w:val="0"/>
        </w:rPr>
        <w:t>Why some places attract the crowd</w:t>
      </w:r>
    </w:p>
    <w:p>
      <w:pPr/>
      <w:r>
        <w:rPr>
          <w:b w:val="0"/>
          <w:i w:val="0"/>
        </w:rPr>
        <w:t>A destination rarely becomes popular for one reason. Climate, scenery, heritage, religion, entertainment, price, safety, transport, accommodation, and reputation can all matter. Some places offer a reliable form of escape: guaranteed sunshine, a famous ski season, a theme park whose experience has already been explained in advertisements. Others offer a concentration of museums, monuments, restaurants, or events that makes the cost of travel feel worthwhile.</w:t>
      </w:r>
    </w:p>
    <w:p>
      <w:pPr/>
      <w:r>
        <w:rPr>
          <w:b w:val="0"/>
          <w:i w:val="0"/>
        </w:rPr>
        <w:t>Popularity can become a feedback loop. More visitors justify additional flights, hotels, roads, restaurants, guides, and online coverage. Those services make the destination easier to visit, bringing still more visitors. A location can therefore become dominant even when another place has similar scenery or history. Access and reputation are part of the attraction, not neutral pipes leading toward it.</w:t>
      </w:r>
    </w:p>
    <w:p>
      <w:pPr/>
      <w:r>
        <w:rPr>
          <w:b w:val="0"/>
          <w:i w:val="0"/>
        </w:rPr>
        <w:t>The same loop creates economic benefits. Tourism can support jobs, local businesses, public transport, museums, and services that residents also use. It can provide a reason to conserve landscapes or buildings. But the benefits are not automatically stable or fairly distributed. Employment may be seasonal and poorly paid. Profits may leave the area through international firms. Housing can move from long-term residents to second homes and short-term rentals. Essential shops can give way to gift shops and cafes aimed at visitors.</w:t>
      </w:r>
    </w:p>
    <w:p>
      <w:pPr>
        <w:pStyle w:val="Heading2"/>
      </w:pPr>
      <w:r>
        <w:rPr>
          <w:b w:val="0"/>
          <w:i w:val="0"/>
        </w:rPr>
        <w:t>The Lake District: what pressure looks like on the ground</w:t>
      </w:r>
    </w:p>
    <w:p>
      <w:pPr/>
      <w:r>
        <w:rPr>
          <w:b w:val="0"/>
          <w:i w:val="0"/>
        </w:rPr>
        <w:t>The linked BBC case study makes the advantages and costs concrete. Tourism in England's Lake District provides employment and income. Visitor facilities can also serve residents, and a functioning local economy can help keep schools and hospitals open. Yet high demand raises house prices and can push younger residents away. Narrow roads become congested during peak periods. Cars create pollution. Heavy foot traffic erodes paths, while boats and watersports create conflicts over noise, safety, shoreline erosion, pollution, and access to the lake.</w:t>
      </w:r>
    </w:p>
    <w:p>
      <w:pPr/>
      <w:r>
        <w:rPr>
          <w:b w:val="0"/>
          <w:i w:val="0"/>
        </w:rPr>
        <w:t>Management does not mean choosing between unlimited tourism and closing the region. The case describes repaired footpaths and restricted access where vegetation needs time to recover. Subsidized buses such as the Langdale Rambler offer an alternative to bringing a car. Villages can restrict parking on grass verges and move car parks away from homes. Posters and visitor centres can explain conservation rules. On Windermere, a 10 mph speed limit introduced in 2005 reduced the pressure from fast powerboats and their wakes, but it also affected boat companies, speedboat owners, and water-skiers. A policy that protects one use of a place may reduce another. That is why tourism management is a political question rather than a technical switch.</w:t>
      </w:r>
    </w:p>
    <w:p>
      <w:pPr>
        <w:pStyle w:val="Heading2"/>
      </w:pPr>
      <w:r>
        <w:rPr>
          <w:b w:val="0"/>
          <w:i w:val="0"/>
        </w:rPr>
        <w:t>When mass tourism becomes overtourism</w:t>
      </w:r>
    </w:p>
    <w:p>
      <w:pPr/>
      <w:r>
        <w:rPr>
          <w:b w:val="0"/>
          <w:i w:val="0"/>
        </w:rPr>
        <w:t>Overtourism begins when the volume and behaviour of visitors exceed what a place can absorb without serious damage to residents, infrastructure, culture, housing, or ecosystems. There is no universal number at which this happens. Capacity depends on location, season, transport, water, waste systems, site sensitivity, visitor behaviour, and the ability of local institutions to manage the flow.</w:t>
      </w:r>
    </w:p>
    <w:p>
      <w:pPr/>
      <w:r>
        <w:rPr>
          <w:b w:val="0"/>
          <w:i w:val="0"/>
        </w:rPr>
        <w:t>A large annual total is therefore evidence of scale, not proof of local overtourism. UN Tourism estimated 1.52 billion international tourist arrivals in 2025, four per cent more than in 2024. In that statistic, an arrival is an international overnight visit. It is not a count of 1.52 billion different human beings, and it says nothing by itself about whether a particular cove, street, or national park has crossed its limit.</w:t>
      </w:r>
    </w:p>
    <w:p>
      <w:pPr/>
      <w:r>
        <w:rPr>
          <w:b w:val="0"/>
          <w:i w:val="0"/>
        </w:rPr>
        <w:t>Venice offers a similar lesson in reading policy data. The city described its first 2025 results as provisional: the access-fee system applied on 54 days, issued 723,497 paid permits, and collected EUR 5,421,425. Those figures prove that the system processed permits and raised revenue. They do not, on their own, prove how many people entered the city, whether peak crowding fell, whether residents felt less pressure, or whether visitors simply changed the dates of their trips. To evaluate the policy, students would need a comparison: flows on fee and non-fee days, changes over time, crowd density in particular locations, resident feedback, enforcement data, and effects on local businesses.</w:t>
      </w:r>
    </w:p>
    <w:p>
      <w:pPr/>
      <w:r>
        <w:rPr>
          <w:b w:val="0"/>
          <w:i w:val="0"/>
        </w:rPr>
        <w:t>This branch should leave us with two thoughts that are both true. Widening access to travel can be a social achievement. It can also produce concentrated harm when destinations are treated as if their capacity were infinite. The next branch begins precisely where those two truths become emotionally uncomfortable. When modern travel feels crowded and stressful, people often imagine that an older, more exclusive age was simply better.</w:t>
      </w:r>
    </w:p>
    <w:p>
      <w:pPr>
        <w:pStyle w:val="WSCSourceNote"/>
        <w:shd w:fill="F7EACC" w:val="clear"/>
        <w:pBdr>
          <w:left w:val="single" w:sz="14" w:space="6" w:color="C89C44"/>
        </w:pBdr>
      </w:pPr>
      <w:r>
        <w:rPr>
          <w:b/>
          <w:i w:val="0"/>
        </w:rPr>
        <w:t>Sources for this chapter:</w:t>
      </w:r>
      <w:r>
        <w:rPr>
          <w:b w:val="0"/>
          <w:i w:val="0"/>
        </w:rPr>
        <w:t xml:space="preserve"> The official WSC link is </w:t>
      </w:r>
      <w:hyperlink r:id="rId19">
        <w:r>
          <w:rPr>
            <w:rStyle w:val="WSCLink"/>
            <w:rFonts w:ascii="Georgia" w:hAnsi="Georgia" w:eastAsia="Georgia" w:cs="Georgia"/>
            <w:color w:val="825F1F"/>
            <w:u w:val="single"/>
          </w:rPr>
          <w:t>L215 - BBC Bitesize on mass tourism</w:t>
        </w:r>
      </w:hyperlink>
      <w:r>
        <w:rPr>
          <w:b w:val="0"/>
          <w:i w:val="0"/>
        </w:rPr>
        <w:t xml:space="preserve">. Two connected pages are part of the same lesson: one explains </w:t>
      </w:r>
      <w:hyperlink r:id="rId20">
        <w:r>
          <w:rPr>
            <w:rStyle w:val="WSCLink"/>
            <w:rFonts w:ascii="Georgia" w:hAnsi="Georgia" w:eastAsia="Georgia" w:cs="Georgia"/>
            <w:color w:val="825F1F"/>
            <w:u w:val="single"/>
          </w:rPr>
          <w:t>the Lake District's benefits and pressures</w:t>
        </w:r>
      </w:hyperlink>
      <w:r>
        <w:rPr>
          <w:b w:val="0"/>
          <w:i w:val="0"/>
        </w:rPr>
        <w:t xml:space="preserve">, and the other describes </w:t>
      </w:r>
      <w:hyperlink r:id="rId21">
        <w:r>
          <w:rPr>
            <w:rStyle w:val="WSCLink"/>
            <w:rFonts w:ascii="Georgia" w:hAnsi="Georgia" w:eastAsia="Georgia" w:cs="Georgia"/>
            <w:color w:val="825F1F"/>
            <w:u w:val="single"/>
          </w:rPr>
          <w:t>management measures</w:t>
        </w:r>
      </w:hyperlink>
      <w:r>
        <w:rPr>
          <w:b w:val="0"/>
          <w:i w:val="0"/>
        </w:rPr>
        <w:t xml:space="preserve">. For current scale, use the dated </w:t>
      </w:r>
      <w:hyperlink r:id="rId22">
        <w:r>
          <w:rPr>
            <w:rStyle w:val="WSCLink"/>
            <w:rFonts w:ascii="Georgia" w:hAnsi="Georgia" w:eastAsia="Georgia" w:cs="Georgia"/>
            <w:color w:val="825F1F"/>
            <w:u w:val="single"/>
          </w:rPr>
          <w:t>UN Tourism release for 2025</w:t>
        </w:r>
      </w:hyperlink>
      <w:r>
        <w:rPr>
          <w:b w:val="0"/>
          <w:i w:val="0"/>
        </w:rPr>
        <w:t xml:space="preserve"> and the </w:t>
      </w:r>
      <w:hyperlink r:id="rId23">
        <w:r>
          <w:rPr>
            <w:rStyle w:val="WSCLink"/>
            <w:rFonts w:ascii="Georgia" w:hAnsi="Georgia" w:eastAsia="Georgia" w:cs="Georgia"/>
            <w:color w:val="825F1F"/>
            <w:u w:val="single"/>
          </w:rPr>
          <w:t>City of Venice's 2025 access-fee results</w:t>
        </w:r>
      </w:hyperlink>
      <w:r>
        <w:rPr>
          <w:b w:val="0"/>
          <w:i w:val="0"/>
        </w:rPr>
        <w:t>. Always preserve the year and the limits of what each number measures.</w:t>
      </w:r>
    </w:p>
    <w:p>
      <w:pPr>
        <w:pStyle w:val="Heading1"/>
        <w:pageBreakBefore/>
        <w:pBdr>
          <w:bottom w:val="single" w:sz="9" w:space="5" w:color="C89C44"/>
        </w:pBdr>
      </w:pPr>
      <w:r>
        <w:rPr>
          <w:b w:val="0"/>
          <w:i w:val="0"/>
        </w:rPr>
        <w:t>Chapter 4 - The golden age and the badly behaved traveller</w:t>
      </w:r>
    </w:p>
    <w:p>
      <w:pPr/>
      <w:r>
        <w:rPr>
          <w:b w:val="0"/>
          <w:i w:val="0"/>
        </w:rPr>
        <w:t>This branch joins two questions that should first be separated. Was there a true golden age when travel was more comfortable, elegant, and civilized? And why might people behave differently when they travel? Nostalgia can influence both answers, but one is a historical comparison and the other is a problem in psychology, social norms, and system design.</w:t>
      </w:r>
    </w:p>
    <w:p>
      <w:pPr>
        <w:pStyle w:val="Heading2"/>
      </w:pPr>
      <w:r>
        <w:rPr>
          <w:b w:val="0"/>
          <w:i w:val="0"/>
        </w:rPr>
        <w:t>What the glamorous photograph leaves outside the frame</w:t>
      </w:r>
    </w:p>
    <w:p>
      <w:pPr/>
      <w:r>
        <w:rPr>
          <w:b w:val="0"/>
          <w:i w:val="0"/>
        </w:rPr>
        <w:t>The nostalgic picture is easy to recognize. Ocean liners cross the Atlantic beneath chandeliers. Flying boats promise spacious cabins. Mid-century passengers wear suits and dresses while meals arrive on real plates. Beside those images, a crowded economy cabin and a passenger's bare feet appear to prove that travel has declined.</w:t>
      </w:r>
    </w:p>
    <w:p>
      <w:pPr/>
      <w:r>
        <w:rPr>
          <w:b w:val="0"/>
          <w:i w:val="0"/>
        </w:rPr>
        <w:t>The Atlantic's history of flying asks students to widen the frame. Early passengers sometimes sat beside pilots in open cockpits, exposed to weather. Later cabins were unpressurized, flew low, shook badly, and could be loud enough to damage hearing. Commercial flying became a large industry after the Second World War, and the 1950s and 1960s supplied many of the images now used as evidence of a golden age. Yet tickets were far more expensive relative to ordinary incomes, flying was more dangerous, and segregated airports formed part of the system in the United States.</w:t>
      </w:r>
    </w:p>
    <w:p>
      <w:pPr/>
      <w:r>
        <w:rPr>
          <w:b w:val="0"/>
          <w:i w:val="0"/>
        </w:rPr>
        <w:t>Even genuine improvements created new discomforts. Faster aircraft made longer journeys possible and introduced passengers to jet lag. As more people flew, aviation became a form of mass transit rather than a rare ceremony. Hub-and-spoke networks helped airlines fill aircraft but also concentrated delays and disruption at major airports. Deregulation, corporate cost-cutting, and changing security systems altered the passenger experience. After the attacks of 11 September 2001, flight attendants had to enforce a much larger security role while passengers encountered new forms of suspicion and control.</w:t>
      </w:r>
    </w:p>
    <w:p>
      <w:pPr/>
      <w:r>
        <w:rPr>
          <w:b w:val="0"/>
          <w:i w:val="0"/>
        </w:rPr>
        <w:t>None of this proves that every modern complaint is imaginary. Seat pitch, delays, staffing, fees, and service can be measured. The stronger conclusion is that a luxury advertisement cannot represent everyone who travelled in its period. The people shown were often the ones who could afford the most photogenic version. A fair comparison needs price, safety, duration, reliability, access, route choice, crowding, and class. It should also ask whose labour produced the elegance.</w:t>
      </w:r>
    </w:p>
    <w:p>
      <w:pPr>
        <w:pStyle w:val="Heading2"/>
      </w:pPr>
      <w:r>
        <w:rPr>
          <w:b w:val="0"/>
          <w:i w:val="0"/>
        </w:rPr>
        <w:t>From miracle to ordinary inconvenience</w:t>
      </w:r>
    </w:p>
    <w:p>
      <w:pPr/>
      <w:r>
        <w:rPr>
          <w:b w:val="0"/>
          <w:i w:val="0"/>
        </w:rPr>
        <w:t>The Atlantic article offers a more interesting explanation for lost glamour. A technology often moves from unimaginable, to imaginable, to normal. Early flight inspired awe because human beings had only recently proved it possible. By the time aviation became routine, passengers judged it as a service. They noticed the queue, the armrest, the delay, and the missing bag because the miracle of being in the sky no longer demanded their attention.</w:t>
      </w:r>
    </w:p>
    <w:p>
      <w:pPr/>
      <w:r>
        <w:rPr>
          <w:b w:val="0"/>
          <w:i w:val="0"/>
        </w:rPr>
        <w:t>This does not mean travellers became ungrateful. It means expectation changed with access. The same process appears elsewhere in the curriculum. Fast Wi-Fi in a hotel changes from a luxury into a minimum requirement. A route that once felt impossibly quick becomes frustrating when a progress display freezes. Progress can make an achievement less visible because people begin measuring it against the next inconvenience.</w:t>
      </w:r>
    </w:p>
    <w:p>
      <w:pPr>
        <w:pStyle w:val="Heading2"/>
      </w:pPr>
      <w:r>
        <w:rPr>
          <w:b w:val="0"/>
          <w:i w:val="0"/>
        </w:rPr>
        <w:t>A civility campaign and the problem with dramatic statistics</w:t>
      </w:r>
    </w:p>
    <w:p>
      <w:pPr/>
      <w:r>
        <w:rPr>
          <w:b w:val="0"/>
          <w:i w:val="0"/>
        </w:rPr>
        <w:t>In 2025, United States Transportation Secretary Sean Duffy launched a campaign called "The Golden Age of Travel Starts with You." Its video contrasted formally dressed BOAC passengers with modern scenes of air rage and poor etiquette. Travellers were asked to dress respectfully, control their children, help other passengers with bags, and say please and thank you. The message treated manners as both a pleasant social norm and a safety issue.</w:t>
      </w:r>
    </w:p>
    <w:p>
      <w:pPr/>
      <w:r>
        <w:rPr>
          <w:b w:val="0"/>
          <w:i w:val="0"/>
        </w:rPr>
        <w:t>The campaign supported its argument with striking numbers: a reported 400 per cent increase in in-flight outbursts since 2019 and 13,800 unruly-passenger incidents since 2021. The linked Independent article then complicates those claims. The year 2021 was unusual because more than seventy per cent of reported incidents were connected to mask rules. Reporting practices also changed after the Federal Aviation Administration adopted a zero-tolerance approach and encouraged airlines to report every incident. Different industry bodies produced less dramatic trends. A rise in recorded reports can reflect more bad behaviour, more passengers, new rules, stronger reporting, or several of these at once.</w:t>
      </w:r>
    </w:p>
    <w:p>
      <w:pPr/>
      <w:r>
        <w:rPr>
          <w:b w:val="0"/>
          <w:i w:val="0"/>
        </w:rPr>
        <w:t xml:space="preserve">The primary sources make the denominator problem clearer. The </w:t>
      </w:r>
      <w:hyperlink r:id="rId24">
        <w:r>
          <w:rPr>
            <w:rStyle w:val="WSCLink"/>
            <w:rFonts w:ascii="Georgia" w:hAnsi="Georgia" w:eastAsia="Georgia" w:cs="Georgia"/>
            <w:color w:val="825F1F"/>
            <w:u w:val="single"/>
          </w:rPr>
          <w:t>US Department of Transportation announcement</w:t>
        </w:r>
      </w:hyperlink>
      <w:r>
        <w:rPr>
          <w:b w:val="0"/>
          <w:i w:val="0"/>
        </w:rPr>
        <w:t xml:space="preserve"> published those headline totals on 19 November 2025. As checked in July 2026, the </w:t>
      </w:r>
      <w:hyperlink r:id="rId25">
        <w:r>
          <w:rPr>
            <w:rStyle w:val="WSCLink"/>
            <w:rFonts w:ascii="Georgia" w:hAnsi="Georgia" w:eastAsia="Georgia" w:cs="Georgia"/>
            <w:color w:val="825F1F"/>
            <w:u w:val="single"/>
          </w:rPr>
          <w:t>FAA's live unruly-passenger page</w:t>
        </w:r>
      </w:hyperlink>
      <w:r>
        <w:rPr>
          <w:b w:val="0"/>
          <w:i w:val="0"/>
        </w:rPr>
        <w:t xml:space="preserve"> said the incident rate had fallen by more than 80 per cent from its record highs in early 2021, while noting more recent increases. A cumulative total since an exceptional peak and a rate trend away from that peak can both be true. Neither tells the whole story without annual flight volume, reporting rules, and a stable definition of an incident.</w:t>
      </w:r>
    </w:p>
    <w:p>
      <w:pPr/>
      <w:r>
        <w:rPr>
          <w:b w:val="0"/>
          <w:i w:val="0"/>
        </w:rPr>
        <w:t>This is exactly the kind of evidence problem that can appear in an official round. Students should not answer by choosing between "people are worse now" and "nothing has changed." They should ask what is being counted, whether the denominator changed, whether the definition stayed stable, and whether an exceptional year is being used as the baseline.</w:t>
      </w:r>
    </w:p>
    <w:p>
      <w:pPr>
        <w:pStyle w:val="Heading2"/>
      </w:pPr>
      <w:r>
        <w:rPr>
          <w:b w:val="0"/>
          <w:i w:val="0"/>
        </w:rPr>
        <w:t>Why people may act differently away from home</w:t>
      </w:r>
    </w:p>
    <w:p>
      <w:pPr/>
      <w:r>
        <w:rPr>
          <w:b w:val="0"/>
          <w:i w:val="0"/>
        </w:rPr>
        <w:t>The BBC's article on tourist misbehaviour rejects a single cause. Individual, group, and contextual factors interact. Some offences begin with ignorance: a visitor approaches wildlife, blocks a path for a photograph, or breaks a local rule without understanding the danger. Others grow from entitlement. A person who has bought a holiday may begin to treat local residents and service workers as parts of the package.</w:t>
      </w:r>
    </w:p>
    <w:p>
      <w:pPr/>
      <w:r>
        <w:rPr>
          <w:b w:val="0"/>
          <w:i w:val="0"/>
        </w:rPr>
        <w:t>Distance from home can weaken familiar social checks. The traveller is surrounded by strangers who may never see them again. In a crowd, responsibility feels shared and anonymity can make a reckless act seem less personal. Alcohol, fatigue, heat, delays, fear, and unfamiliar surroundings lower patience. A group supplies its own norms, which may be louder or riskier than the standards any member follows alone. Social media adds an audience: a dangerous pose or disruptive prank can earn attention long after the trip ends.</w:t>
      </w:r>
    </w:p>
    <w:p>
      <w:pPr/>
      <w:r>
        <w:rPr>
          <w:b w:val="0"/>
          <w:i w:val="0"/>
        </w:rPr>
        <w:t>These mechanisms explain pressure; they do not excuse harm. Vandalism at a historical or sacred site creates costs that extend far beyond repair. The BBC article describes damage to ancient petroglyphs and explains how desecration of heritage associated with marginalized communities can reactivate the message that their history does not matter. A small site may divert scarce conservation money to damage caused in seconds. Some losses cannot be reversed.</w:t>
      </w:r>
    </w:p>
    <w:p>
      <w:pPr>
        <w:pStyle w:val="Heading2"/>
      </w:pPr>
      <w:r>
        <w:rPr>
          <w:b w:val="0"/>
          <w:i w:val="0"/>
        </w:rPr>
        <w:t>Better manners need better systems</w:t>
      </w:r>
    </w:p>
    <w:p>
      <w:pPr/>
      <w:r>
        <w:rPr>
          <w:b w:val="0"/>
          <w:i w:val="0"/>
        </w:rPr>
        <w:t>A polite passenger can improve a flight, but clothing cannot repair a badly designed queue or an exhausted workforce. Effective responses work at several levels. Travellers need clear expectations and a sense that they are guests rather than owners of the place. Operators can change alcohol policy, staffing, space, information, and crowd flow. Governments and site managers can use limits, fines, reservations, education, and enforcement where damage is likely. New Zealand's Tiaki Promise is one example of a visitor code that frames care for people, culture, land, sea, and nature as part of the journey.</w:t>
      </w:r>
    </w:p>
    <w:p>
      <w:pPr/>
      <w:r>
        <w:rPr>
          <w:b w:val="0"/>
          <w:i w:val="0"/>
        </w:rPr>
        <w:t>The historical and behavioural questions finally meet here. A golden-age story turns a system problem into a costume problem: if everyone dressed better, perhaps travel would feel dignified again. The evidence suggests a harder answer. Travel quality emerges from the interaction of access, design, labour, price, rules, expectations, and behaviour. Better manners matter, but they operate inside a system that can either support or undermine them.</w:t>
      </w:r>
    </w:p>
    <w:p>
      <w:pPr>
        <w:pStyle w:val="WSCSourceNote"/>
        <w:shd w:fill="F7EACC" w:val="clear"/>
        <w:pBdr>
          <w:left w:val="single" w:sz="14" w:space="6" w:color="C89C44"/>
        </w:pBdr>
      </w:pPr>
      <w:r>
        <w:rPr>
          <w:b/>
          <w:i w:val="0"/>
        </w:rPr>
        <w:t>Sources for this chapter:</w:t>
      </w:r>
      <w:r>
        <w:rPr>
          <w:b w:val="0"/>
          <w:i w:val="0"/>
        </w:rPr>
        <w:t xml:space="preserve"> The branch begins with the </w:t>
      </w:r>
      <w:hyperlink r:id="rId26">
        <w:r>
          <w:rPr>
            <w:rStyle w:val="WSCLink"/>
            <w:rFonts w:ascii="Georgia" w:hAnsi="Georgia" w:eastAsia="Georgia" w:cs="Georgia"/>
            <w:color w:val="825F1F"/>
            <w:u w:val="single"/>
          </w:rPr>
          <w:t>L216 - 2025 civility campaign and its disputed statistics</w:t>
        </w:r>
      </w:hyperlink>
      <w:r>
        <w:rPr>
          <w:b w:val="0"/>
          <w:i w:val="0"/>
        </w:rPr>
        <w:t xml:space="preserve">. Compare it with the </w:t>
      </w:r>
      <w:hyperlink r:id="rId24">
        <w:r>
          <w:rPr>
            <w:rStyle w:val="WSCLink"/>
            <w:rFonts w:ascii="Georgia" w:hAnsi="Georgia" w:eastAsia="Georgia" w:cs="Georgia"/>
            <w:color w:val="825F1F"/>
            <w:u w:val="single"/>
          </w:rPr>
          <w:t>official campaign announcement</w:t>
        </w:r>
      </w:hyperlink>
      <w:r>
        <w:rPr>
          <w:b w:val="0"/>
          <w:i w:val="0"/>
        </w:rPr>
        <w:t xml:space="preserve"> and the </w:t>
      </w:r>
      <w:hyperlink r:id="rId25">
        <w:r>
          <w:rPr>
            <w:rStyle w:val="WSCLink"/>
            <w:rFonts w:ascii="Georgia" w:hAnsi="Georgia" w:eastAsia="Georgia" w:cs="Georgia"/>
            <w:color w:val="825F1F"/>
            <w:u w:val="single"/>
          </w:rPr>
          <w:t>FAA's live statistics and reporting notes</w:t>
        </w:r>
      </w:hyperlink>
      <w:r>
        <w:rPr>
          <w:b w:val="0"/>
          <w:i w:val="0"/>
        </w:rPr>
        <w:t xml:space="preserve">. The historical argument comes from The Atlantic's </w:t>
      </w:r>
      <w:hyperlink r:id="rId27">
        <w:r>
          <w:rPr>
            <w:rStyle w:val="WSCLink"/>
            <w:rFonts w:ascii="Georgia" w:hAnsi="Georgia" w:eastAsia="Georgia" w:cs="Georgia"/>
            <w:color w:val="825F1F"/>
            <w:u w:val="single"/>
          </w:rPr>
          <w:t>L217 - "The Golden Age of Flying Wasn't All That Golden"</w:t>
        </w:r>
      </w:hyperlink>
      <w:r>
        <w:rPr>
          <w:b w:val="0"/>
          <w:i w:val="0"/>
        </w:rPr>
        <w:t xml:space="preserve">; the curriculum's archive address is malformed, so the guide should retain a </w:t>
      </w:r>
      <w:hyperlink r:id="rId28">
        <w:r>
          <w:rPr>
            <w:rStyle w:val="WSCLink"/>
            <w:rFonts w:ascii="Georgia" w:hAnsi="Georgia" w:eastAsia="Georgia" w:cs="Georgia"/>
            <w:color w:val="825F1F"/>
            <w:u w:val="single"/>
          </w:rPr>
          <w:t>L218 - corrected archive copy</w:t>
        </w:r>
      </w:hyperlink>
      <w:r>
        <w:rPr>
          <w:b w:val="0"/>
          <w:i w:val="0"/>
        </w:rPr>
        <w:t xml:space="preserve">. The psychology and consequences come from the BBC's </w:t>
      </w:r>
      <w:hyperlink r:id="rId29">
        <w:r>
          <w:rPr>
            <w:rStyle w:val="WSCLink"/>
            <w:rFonts w:ascii="Georgia" w:hAnsi="Georgia" w:eastAsia="Georgia" w:cs="Georgia"/>
            <w:color w:val="825F1F"/>
            <w:u w:val="single"/>
          </w:rPr>
          <w:t>L219 - tourist-misbehaviour investigation</w:t>
        </w:r>
      </w:hyperlink>
      <w:r>
        <w:rPr>
          <w:b w:val="0"/>
          <w:i w:val="0"/>
        </w:rPr>
        <w:t xml:space="preserve">. The </w:t>
      </w:r>
      <w:hyperlink r:id="rId30">
        <w:r>
          <w:rPr>
            <w:rStyle w:val="WSCLink"/>
            <w:rFonts w:ascii="Georgia" w:hAnsi="Georgia" w:eastAsia="Georgia" w:cs="Georgia"/>
            <w:color w:val="825F1F"/>
            <w:u w:val="single"/>
          </w:rPr>
          <w:t>Tiaki Promise</w:t>
        </w:r>
      </w:hyperlink>
      <w:r>
        <w:rPr>
          <w:b w:val="0"/>
          <w:i w:val="0"/>
        </w:rPr>
        <w:t xml:space="preserve"> is useful as a concrete response, not as proof that a code alone changes behaviour.</w:t>
      </w:r>
    </w:p>
    <w:p>
      <w:pPr>
        <w:pStyle w:val="Heading1"/>
        <w:pageBreakBefore/>
        <w:pBdr>
          <w:bottom w:val="single" w:sz="9" w:space="5" w:color="C89C44"/>
        </w:pBdr>
      </w:pPr>
      <w:r>
        <w:rPr>
          <w:b w:val="0"/>
          <w:i w:val="0"/>
        </w:rPr>
        <w:t>Chapter 5 - The search for authentic tourism</w:t>
      </w:r>
    </w:p>
    <w:p>
      <w:pPr/>
      <w:r>
        <w:rPr>
          <w:b w:val="0"/>
          <w:i w:val="0"/>
        </w:rPr>
        <w:t>Mass tourism sells convenience. The route, hotel, restaurant, and attraction have already been selected, tested, and repeated. For many travellers, that is exactly the appeal. Others begin to fear that the same convenience has separated them from the place they came to see. They do not want to be shuffled through the same museum, buffet, and souvenir shop as everyone else. They want local food, direct contact, an undiscovered street, a working farm, a silent monastery, or a difficult history. They want something "authentic."</w:t>
      </w:r>
    </w:p>
    <w:p>
      <w:pPr/>
      <w:r>
        <w:rPr>
          <w:b w:val="0"/>
          <w:i w:val="0"/>
        </w:rPr>
        <w:t>The word sounds positive, but it is not a measurable guarantee. A small tour can be exploitative. A popular attraction can be well managed and locally controlled. A visitor can feel transformed while the host community receives little benefit. This branch therefore asks two different questions. What motive distinguishes each form of niche tourism? And what evidence would show that the visit created real learning, reciprocity, or conservation rather than a new product wearing the costume of authenticity?</w:t>
      </w:r>
    </w:p>
    <w:p>
      <w:pPr>
        <w:pStyle w:val="Heading2"/>
      </w:pPr>
      <w:r>
        <w:rPr>
          <w:b w:val="0"/>
          <w:i w:val="0"/>
        </w:rPr>
        <w:t>Heritage tourism: visiting a living past</w:t>
      </w:r>
    </w:p>
    <w:p>
      <w:pPr/>
      <w:r>
        <w:rPr>
          <w:b w:val="0"/>
          <w:i w:val="0"/>
        </w:rPr>
        <w:t>Heritage tourism brings visitors to places, objects, practices, and stories connected with the past. Its obvious sites are monuments, museums, ruins, and historic buildings. Its less visible subjects include language, music, food, ritual, craft, and memory. The distinction matters because a culture is not preserved simply by maintaining stone walls. If residents lose access to the site, if guides repeat a simplified story written for outsiders, or if living traditions are performed only on a tourist timetable, the building may survive while much of its meaning disappears.</w:t>
      </w:r>
    </w:p>
    <w:p>
      <w:pPr/>
      <w:r>
        <w:rPr>
          <w:b w:val="0"/>
          <w:i w:val="0"/>
        </w:rPr>
        <w:t>Tourism can provide money and attention for preservation. It can also reward the most photogenic version of history. A strong evaluation asks who chooses the story, whose history is omitted, who works as interpreter, and whether local people still use the place on their own terms. "Old" is not the same as "authentic," and authenticity does not require freezing a community at the moment visitors first noticed it.</w:t>
      </w:r>
    </w:p>
    <w:p>
      <w:pPr>
        <w:pStyle w:val="Heading2"/>
      </w:pPr>
      <w:r>
        <w:rPr>
          <w:b w:val="0"/>
          <w:i w:val="0"/>
        </w:rPr>
        <w:t>Ecotourism and agritourism: when the landscape becomes the host</w:t>
      </w:r>
    </w:p>
    <w:p>
      <w:pPr/>
      <w:r>
        <w:rPr>
          <w:b w:val="0"/>
          <w:i w:val="0"/>
        </w:rPr>
        <w:t xml:space="preserve">Ecotourism promises responsible travel to natural areas, with conservation, education, and local wellbeing built into the visit. The promise is demanding. A lodge can advertise bamboo furniture and still consume scarce water, disturb wildlife, import most of its food, or require a carbon-intensive flight. A beach cleanup may teach visitors something useful, but it does not automatically compensate for pressure on a fragile habitat. The word </w:t>
      </w:r>
      <w:r>
        <w:rPr>
          <w:b w:val="0"/>
          <w:i/>
        </w:rPr>
        <w:t>eco</w:t>
      </w:r>
      <w:r>
        <w:rPr>
          <w:b w:val="0"/>
          <w:i w:val="0"/>
        </w:rPr>
        <w:t xml:space="preserve"> should begin an investigation, not end it.</w:t>
      </w:r>
    </w:p>
    <w:p>
      <w:pPr/>
      <w:r>
        <w:rPr>
          <w:b w:val="0"/>
          <w:i w:val="0"/>
        </w:rPr>
        <w:t>Agritourism brings visitors into farms and rural production. A family might stay on a farm, learn how food is grown, join a harvest activity, buy products directly, or attend a class. This can diversify farmers' income and keep more value in the local area. It can also turn agricultural work into a performance designed around visitors. The useful question is whether tourism supports the farm's existing purpose or gradually replaces it with scenery and entertainment.</w:t>
      </w:r>
    </w:p>
    <w:p>
      <w:pPr>
        <w:pStyle w:val="Heading2"/>
      </w:pPr>
      <w:r>
        <w:rPr>
          <w:b w:val="0"/>
          <w:i w:val="0"/>
        </w:rPr>
        <w:t>Gastrotourism: tasting a place</w:t>
      </w:r>
    </w:p>
    <w:p>
      <w:pPr/>
      <w:r>
        <w:rPr>
          <w:b w:val="0"/>
          <w:i w:val="0"/>
        </w:rPr>
        <w:t>Food tourism treats eating, cooking, markets, producers, and culinary traditions as a reason to travel. A meal can teach geography and history in a direct way. Ingredients reveal climate and trade. Techniques preserve migration and family memory. Markets show what is seasonal and who controls distribution. Cooking classes and producer visits can create forms of exchange that a photograph cannot.</w:t>
      </w:r>
    </w:p>
    <w:p>
      <w:pPr/>
      <w:r>
        <w:rPr>
          <w:b w:val="0"/>
          <w:i w:val="0"/>
        </w:rPr>
        <w:t>Yet cuisine is easy to standardize for a trend. A dish may be detached from its season, religious meaning, labour, or local customers so that it can be sold quickly to visitors. A viral restaurant may raise income while making everyday food unaffordable or inaccessible to residents. The test is not whether the food looks traditional. It is whether local producers and workers benefit, the story is accurate, and the visitor learns more than the name of a dish.</w:t>
      </w:r>
    </w:p>
    <w:p>
      <w:pPr>
        <w:pStyle w:val="Heading2"/>
      </w:pPr>
      <w:r>
        <w:rPr>
          <w:b w:val="0"/>
          <w:i w:val="0"/>
        </w:rPr>
        <w:t>Monastic and wellness retreats: buying distance from ordinary life</w:t>
      </w:r>
    </w:p>
    <w:p>
      <w:pPr/>
      <w:r>
        <w:rPr>
          <w:b w:val="0"/>
          <w:i w:val="0"/>
        </w:rPr>
        <w:t>A monastic retreat offers time within a religious community or a setting shaped by religious practice. Silence, prayer, service, fixed routines, and shared rules can interrupt the traveller's normal habits. The visitor is not simply renting a quiet room. A serious retreat requires respect for the community's purpose and an acceptance that the guest does not control every part of the experience.</w:t>
      </w:r>
    </w:p>
    <w:p>
      <w:pPr/>
      <w:r>
        <w:rPr>
          <w:b w:val="0"/>
          <w:i w:val="0"/>
        </w:rPr>
        <w:t>Wellness retreats make a broader promise of physical, mental, or spiritual health through rest, exercise, treatment, diet, meditation, or distance from digital life. They can give people structured time to recover. They can also sell expensive isolation as if wellbeing were independent of work, housing, healthcare, and community. Both forms raise the same tension: can stepping away from ordinary life create lasting change, or does the retreat become a short consumer experience after which the original pressures remain?</w:t>
      </w:r>
    </w:p>
    <w:p>
      <w:pPr>
        <w:pStyle w:val="Heading2"/>
      </w:pPr>
      <w:r>
        <w:rPr>
          <w:b w:val="0"/>
          <w:i w:val="0"/>
        </w:rPr>
        <w:t>Voluntourism and edutourism: when helping and learning become part of the package</w:t>
      </w:r>
    </w:p>
    <w:p>
      <w:pPr/>
      <w:r>
        <w:rPr>
          <w:b w:val="0"/>
          <w:i w:val="0"/>
        </w:rPr>
        <w:t>Voluntourism combines travel with volunteer work. At its best, visitors join a locally led project that has a real need, appropriate safeguards, and a plan lasting longer than the visit. At its worst, a project is designed around the volunteer's desire to feel useful. Unskilled visitors can replace paid local workers, create dependency, or spend a few days working with children without the protection and continuity such work requires. Good intention is evidence about motive. It is not evidence about outcome.</w:t>
      </w:r>
    </w:p>
    <w:p>
      <w:pPr/>
      <w:r>
        <w:rPr>
          <w:b w:val="0"/>
          <w:i w:val="0"/>
        </w:rPr>
        <w:t>Edutourism makes learning the explicit purpose of travel. Language immersion, field research, academic exchange, workshops, and specialized historical tours all fit the category. It connects directly to the Grand Tour, but modern institutions can widen access and impose educational standards that an aristocratic journey lacked. The same class question remains. Who can afford to learn by travelling, who receives academic credit for it, and whose knowledge is treated as part of the lesson?</w:t>
      </w:r>
    </w:p>
    <w:p>
      <w:pPr>
        <w:pStyle w:val="Heading2"/>
      </w:pPr>
      <w:r>
        <w:rPr>
          <w:b w:val="0"/>
          <w:i w:val="0"/>
        </w:rPr>
        <w:t>Dark tourism: memory, suffering, and the tourist gaze</w:t>
      </w:r>
    </w:p>
    <w:p>
      <w:pPr/>
      <w:r>
        <w:rPr>
          <w:b w:val="0"/>
          <w:i w:val="0"/>
        </w:rPr>
        <w:t>Dark tourism brings visitors to places associated with death, disaster, violence, or tragedy. Such visits can preserve memory, support education, and honour victims. They can also turn suffering into a dramatic background for the visitor's photograph. Behaviour matters, but interpretation matters too. A respectful visitor can still receive a misleading story if a museum omits the people or systems responsible for the harm.</w:t>
      </w:r>
    </w:p>
    <w:p>
      <w:pPr/>
      <w:r>
        <w:rPr>
          <w:b w:val="0"/>
          <w:i w:val="0"/>
        </w:rPr>
        <w:t>The right question is not whether visiting a difficult place is automatically wrong. It is what the site asks the visitor to understand, whose voice leads the story, how victims and descendants are treated, and whether commercial activity supports remembrance rather than replacing it. A place of suffering does not become ethical merely because the ticket uses the language of education.</w:t>
      </w:r>
    </w:p>
    <w:p>
      <w:pPr>
        <w:pStyle w:val="Heading2"/>
      </w:pPr>
      <w:r>
        <w:rPr>
          <w:b w:val="0"/>
          <w:i w:val="0"/>
        </w:rPr>
        <w:t>Xiaohongshu and the manufacture of the undiscovered place</w:t>
      </w:r>
    </w:p>
    <w:p>
      <w:pPr/>
      <w:r>
        <w:rPr>
          <w:b w:val="0"/>
          <w:i w:val="0"/>
        </w:rPr>
        <w:t>The official Sixth Tone article follows a traveller who wanted to escape crowded attractions in South Korea. She used Xiaohongshu, the Chinese lifestyle platform sometimes compared with Instagram, and found Pyeongsan Bookstore, a rural shop opened by former South Korean president Moon Jae-in. The destination looked remote and unusual. When she arrived more than twenty kilometres from Busan, however, she found a crowd of Chinese visitors using the same app and waiting for the same photograph.</w:t>
      </w:r>
    </w:p>
    <w:p>
      <w:pPr/>
      <w:r>
        <w:rPr>
          <w:b w:val="0"/>
          <w:i w:val="0"/>
        </w:rPr>
        <w:t>This is not simply a story about foolish tourists copying an influencer. Xiaohongshu can be genuinely useful. A post may explain transport step by step, estimate costs, report current crowd levels, and help solo travellers find companions with whom to split expenses. The article describes the platform as especially important among younger Chinese users and notes that women form much of its audience. The Pyeongsan post had hundreds of likes and saves because it solved real travel problems.</w:t>
      </w:r>
    </w:p>
    <w:p>
      <w:pPr/>
      <w:r>
        <w:rPr>
          <w:b w:val="0"/>
          <w:i w:val="0"/>
        </w:rPr>
        <w:t>The problem appears when useful guidance meets a platform of roughly 300 million users. A location is described as off the beaten path. The post makes the route easy to repeat. Saves and recommendations increase its visibility. Visitors reproduce the same angle, pose, or itinerary. Businesses adapt to the new demand. The experience becomes more staged and crowded, encouraging the next group to search for another undiscovered place. A solitary tree in a field in Laos can become an international check-in point without changing anything about the tree itself.</w:t>
      </w:r>
    </w:p>
    <w:p>
      <w:pPr/>
      <w:r>
        <w:rPr>
          <w:b w:val="0"/>
          <w:i w:val="0"/>
        </w:rPr>
        <w:t>Editing intensifies the loop. Cropping can remove the queue beside a viewpoint. Colour and perspective can make an ordinary place look exceptional. Visitors then encounter a gap between the screen and the site, while local businesses meet customers interested mainly in recreating the image. The Sixth Tone writer describes a restaurant owner in Malaysia who refused service to people arriving only because of Xiaohongshu. His response may be unfair to individual visitors, but it reveals a real conflict over who controls the meaning of the place.</w:t>
      </w:r>
    </w:p>
    <w:p>
      <w:pPr>
        <w:pStyle w:val="Heading2"/>
      </w:pPr>
      <w:r>
        <w:rPr>
          <w:b w:val="0"/>
          <w:i w:val="0"/>
        </w:rPr>
        <w:t>When spreading visitors creates another crowd</w:t>
      </w:r>
    </w:p>
    <w:p>
      <w:pPr/>
      <w:r>
        <w:rPr>
          <w:b w:val="0"/>
          <w:i w:val="0"/>
        </w:rPr>
        <w:t>A 2025 case from Spain's Balearic Islands shows the same mechanism at destination scale. Authorities had worked with influencers partly in the hope of directing visitors away from famous sites. The strategy sent large audiences toward small and environmentally sensitive locations instead. Calo des Moro, a cove described as having space for about one hundred people, was reported to receive as many as four thousand visitors and twelve hundred vehicles in a day. The local authority eventually removed images of the cove from its own website. At Es Vedra on Ibiza, access to a popular viewpoint was closed after complaints about crowding and waste.</w:t>
      </w:r>
    </w:p>
    <w:p>
      <w:pPr/>
      <w:r>
        <w:rPr>
          <w:b w:val="0"/>
          <w:i w:val="0"/>
        </w:rPr>
        <w:t>Removing an image cannot make a place secret again. Nor should every local business reject visibility. Tourism can bring income to communities outside established routes. The case shows why distribution alone is not a complete strategy. Sending visitors somewhere new without assessing capacity, access, waste, housing, and resident consent can reproduce overtourism at a more fragile site.</w:t>
      </w:r>
    </w:p>
    <w:p>
      <w:pPr>
        <w:pStyle w:val="Heading2"/>
      </w:pPr>
      <w:r>
        <w:rPr>
          <w:b w:val="0"/>
          <w:i w:val="0"/>
        </w:rPr>
        <w:t>What deep exchange would require</w:t>
      </w:r>
    </w:p>
    <w:p>
      <w:pPr/>
      <w:r>
        <w:rPr>
          <w:b w:val="0"/>
          <w:i w:val="0"/>
        </w:rPr>
        <w:t>The Global Sustainable Tourism Council's Destination Criteria offer a way to move beyond a traveller's feelings. A destination should have an accountable management structure, a public strategy, and evidence that it monitors social, cultural, economic, and environmental effects. Residents should be involved and their feedback should change decisions. Visitor volume should be managed by season and location. Economic benefits should reach local people. Living culture should be interpreted with the participation of the communities who sustain it. Sensitive cultural and natural sites need clear behaviour guidance and protection.</w:t>
      </w:r>
    </w:p>
    <w:p>
      <w:pPr/>
      <w:r>
        <w:rPr>
          <w:b w:val="0"/>
          <w:i w:val="0"/>
        </w:rPr>
        <w:t>These criteria do not award authenticity to a particular style of trip. They ask for evidence. Deep exchange becomes more plausible when the host community controls the terms, the visitor stays long enough to learn, language or interpretation makes real communication possible, money remains locally, and the relationship does not depend on the visitor performing discovery. A traveller's transformation can be sincere. It is still only one side of the encounter.</w:t>
      </w:r>
    </w:p>
    <w:p>
      <w:pPr/>
      <w:r>
        <w:rPr>
          <w:b w:val="0"/>
          <w:i w:val="0"/>
        </w:rPr>
        <w:t>The branch therefore ends with a paradox rather than a ban on niche travel. People search for alternatives because mass tourism can feel shallow and destructive. The search can support conservation, learning, and local enterprise. Once the alternative is packaged, ranked, and repeated, however, it becomes part of the tourism system it was meant to escape.</w:t>
      </w:r>
    </w:p>
    <w:p>
      <w:pPr>
        <w:pStyle w:val="WSCSourceNote"/>
        <w:shd w:fill="F7EACC" w:val="clear"/>
        <w:pBdr>
          <w:left w:val="single" w:sz="14" w:space="6" w:color="C89C44"/>
        </w:pBdr>
      </w:pPr>
      <w:r>
        <w:rPr>
          <w:b/>
          <w:i w:val="0"/>
        </w:rPr>
        <w:t>Sources for this chapter:</w:t>
      </w:r>
      <w:r>
        <w:rPr>
          <w:b w:val="0"/>
          <w:i w:val="0"/>
        </w:rPr>
        <w:t xml:space="preserve"> The official WSC source is Sixth Tone's </w:t>
      </w:r>
      <w:hyperlink r:id="rId31">
        <w:r>
          <w:rPr>
            <w:rStyle w:val="WSCLink"/>
            <w:rFonts w:ascii="Georgia" w:hAnsi="Georgia" w:eastAsia="Georgia" w:cs="Georgia"/>
            <w:color w:val="825F1F"/>
            <w:u w:val="single"/>
          </w:rPr>
          <w:t>L220 - "The World According to Xiaohongshu"</w:t>
        </w:r>
      </w:hyperlink>
      <w:r>
        <w:rPr>
          <w:b w:val="0"/>
          <w:i w:val="0"/>
        </w:rPr>
        <w:t xml:space="preserve">. It should be read for its concrete cases, practical benefits, and first-person ambivalence, not reduced to the claim that social media causes crowds. The </w:t>
      </w:r>
      <w:hyperlink r:id="rId32">
        <w:r>
          <w:rPr>
            <w:rStyle w:val="WSCLink"/>
            <w:rFonts w:ascii="Georgia" w:hAnsi="Georgia" w:eastAsia="Georgia" w:cs="Georgia"/>
            <w:color w:val="825F1F"/>
            <w:u w:val="single"/>
          </w:rPr>
          <w:t>GSTC Destination Criteria</w:t>
        </w:r>
      </w:hyperlink>
      <w:r>
        <w:rPr>
          <w:b w:val="0"/>
          <w:i w:val="0"/>
        </w:rPr>
        <w:t xml:space="preserve"> provide the missing test for local control and durable benefit. The </w:t>
      </w:r>
      <w:hyperlink r:id="rId33">
        <w:r>
          <w:rPr>
            <w:rStyle w:val="WSCLink"/>
            <w:rFonts w:ascii="Georgia" w:hAnsi="Georgia" w:eastAsia="Georgia" w:cs="Georgia"/>
            <w:color w:val="825F1F"/>
            <w:u w:val="single"/>
          </w:rPr>
          <w:t>Balearic selfie-tourism case</w:t>
        </w:r>
      </w:hyperlink>
      <w:r>
        <w:rPr>
          <w:b w:val="0"/>
          <w:i w:val="0"/>
        </w:rPr>
        <w:t xml:space="preserve"> supplies a later example of an attempted solution creating a new concentration problem. The </w:t>
      </w:r>
      <w:hyperlink r:id="rId34">
        <w:r>
          <w:rPr>
            <w:rStyle w:val="WSCLink"/>
            <w:rFonts w:ascii="Georgia" w:hAnsi="Georgia" w:eastAsia="Georgia" w:cs="Georgia"/>
            <w:color w:val="825F1F"/>
            <w:u w:val="single"/>
          </w:rPr>
          <w:t>January 2026 Dolomites report</w:t>
        </w:r>
      </w:hyperlink>
      <w:r>
        <w:rPr>
          <w:b w:val="0"/>
          <w:i w:val="0"/>
        </w:rPr>
        <w:t xml:space="preserve"> is a useful current companion, but any facts drawn from it should be checked again immediately before publication because access controls and local policy can change.</w:t>
      </w:r>
    </w:p>
    <w:p>
      <w:pPr>
        <w:pStyle w:val="Heading1"/>
        <w:pageBreakBefore/>
        <w:pBdr>
          <w:bottom w:val="single" w:sz="9" w:space="5" w:color="C89C44"/>
        </w:pBdr>
      </w:pPr>
      <w:r>
        <w:rPr>
          <w:b w:val="0"/>
          <w:i w:val="0"/>
        </w:rPr>
        <w:t>Chapter 6 - When goods travel</w:t>
      </w:r>
    </w:p>
    <w:p>
      <w:pPr/>
      <w:r>
        <w:rPr>
          <w:b w:val="0"/>
          <w:i w:val="0"/>
        </w:rPr>
        <w:t>The final branch changes the traveller. A person can describe a trip as a movement from home to destination, even when the route contains stops. A good is more likely to change hands, vehicles, legal status, and direction several times before a buyer receives it. A container may reach a port without reaching its market. A bale of cloth may spend months in storage before anyone knows where demand will be strongest. An online order can pass through a factory, warehouse, customs area, container terminal, rail yard, distribution centre, and delivery van. It "arrives" repeatedly.</w:t>
      </w:r>
    </w:p>
    <w:p>
      <w:pPr/>
      <w:r>
        <w:rPr>
          <w:b w:val="0"/>
          <w:i w:val="0"/>
        </w:rPr>
        <w:t>This branch contains five terms and ten named routes or hubs. They are not decorative examples. The vocabulary tells us what kind of middle point we are looking at. The places show how geography, law, infrastructure, violence, and political power can turn an intermediate stop into a centre of wealth.</w:t>
      </w:r>
    </w:p>
    <w:p>
      <w:pPr>
        <w:pStyle w:val="Heading2"/>
      </w:pPr>
      <w:r>
        <w:rPr>
          <w:b w:val="0"/>
          <w:i w:val="0"/>
        </w:rPr>
        <w:t>Five kinds of middle point</w:t>
      </w:r>
    </w:p>
    <w:p>
      <w:pPr/>
      <w:r>
        <w:rPr>
          <w:b w:val="0"/>
          <w:i w:val="0"/>
        </w:rPr>
        <w:t xml:space="preserve">An </w:t>
      </w:r>
      <w:r>
        <w:rPr>
          <w:b/>
          <w:i w:val="0"/>
        </w:rPr>
        <w:t>entrepôt</w:t>
      </w:r>
      <w:r>
        <w:rPr>
          <w:b w:val="0"/>
          <w:i w:val="0"/>
        </w:rPr>
        <w:t xml:space="preserve"> is a commercial hub where goods are imported, stored, sorted, traded, and sent onward. The French word is related to a warehouse, but an entrepôt can be a port, town, or city rather than one building. Before transport and information became reliable, merchants could not perfectly match supply with distant demand. Storing goods at a crossroads allowed them to wait, combine shipments, divide cargo, find buyers, and redirect inventory. Customs privileges often helped an entrepôt prosper, but the commercial function and the legal regime should not be treated as identical.</w:t>
      </w:r>
    </w:p>
    <w:p>
      <w:pPr/>
      <w:r>
        <w:rPr>
          <w:b w:val="0"/>
          <w:i w:val="0"/>
        </w:rPr>
        <w:t xml:space="preserve">A </w:t>
      </w:r>
      <w:r>
        <w:rPr>
          <w:b/>
          <w:i w:val="0"/>
        </w:rPr>
        <w:t>waystation</w:t>
      </w:r>
      <w:r>
        <w:rPr>
          <w:b w:val="0"/>
          <w:i w:val="0"/>
        </w:rPr>
        <w:t xml:space="preserve"> is the broadest term. It is an intermediate stopping point on a route. People, animals, messages, vehicles, or goods may pause there for rest, supplies, repair, information, or transfer. Calling a place a waystation tells us where it sits in a journey, but not whether goods are sold, how customs works, or what physical form the stop takes.</w:t>
      </w:r>
    </w:p>
    <w:p>
      <w:pPr/>
      <w:r>
        <w:rPr>
          <w:b w:val="0"/>
          <w:i w:val="0"/>
        </w:rPr>
        <w:t xml:space="preserve">A </w:t>
      </w:r>
      <w:r>
        <w:rPr>
          <w:b/>
          <w:i w:val="0"/>
        </w:rPr>
        <w:t>free zone</w:t>
      </w:r>
      <w:r>
        <w:rPr>
          <w:b w:val="0"/>
          <w:i w:val="0"/>
        </w:rPr>
        <w:t>, often called a free-trade zone in ordinary discussion, is defined by law. The World Customs Organization describes it as part of a country's territory where goods are generally treated, for import duties and taxes, as if they were outside the customs territory. This does not mean the zone is outside government control or that every activity is tax-free. National law determines what goods enter, what processing is allowed, and how customs checks operate. The zone is a legal arrangement placed onto a physical area.</w:t>
      </w:r>
    </w:p>
    <w:p>
      <w:pPr/>
      <w:r>
        <w:rPr>
          <w:b/>
          <w:i w:val="0"/>
        </w:rPr>
        <w:t>Transshipment</w:t>
      </w:r>
      <w:r>
        <w:rPr>
          <w:b w:val="0"/>
          <w:i w:val="0"/>
        </w:rPr>
        <w:t xml:space="preserve"> is an operation. Cargo moves from one vessel, vehicle, or route to another before reaching its final destination. A container unloaded from a large ocean-going ship and placed on a smaller regional vessel is being transshipped even if it is never sold. Transshipment can occur inside an entrepôt or free zone, but it does not require long-term storage, local trade, or special tax treatment.</w:t>
      </w:r>
    </w:p>
    <w:p>
      <w:pPr/>
      <w:r>
        <w:rPr>
          <w:b w:val="0"/>
          <w:i w:val="0"/>
        </w:rPr>
        <w:t xml:space="preserve">A </w:t>
      </w:r>
      <w:r>
        <w:rPr>
          <w:b/>
          <w:i w:val="0"/>
        </w:rPr>
        <w:t>caravanserai</w:t>
      </w:r>
      <w:r>
        <w:rPr>
          <w:b w:val="0"/>
          <w:i w:val="0"/>
        </w:rPr>
        <w:t xml:space="preserve"> is a physical institution built for an overland route. It supports caravans, merchants, animals, and goods with shelter, water, food, storage, and security. Trade can happen there, and the stop can function as a waystation, but the building is not automatically an entrepôt. It is certainly not a free zone merely because merchants are present. The comparison returns us to Chapter 1: precise names come from function, users, architecture, and rules.</w:t>
      </w:r>
    </w:p>
    <w:p>
      <w:pPr>
        <w:pStyle w:val="Heading2"/>
      </w:pPr>
      <w:r>
        <w:rPr>
          <w:b w:val="0"/>
          <w:i w:val="0"/>
        </w:rPr>
        <w:t>The Silk Roads: a network made from partial journeys</w:t>
      </w:r>
    </w:p>
    <w:p>
      <w:pPr/>
      <w:r>
        <w:rPr>
          <w:b w:val="0"/>
          <w:i w:val="0"/>
        </w:rPr>
        <w:t>The Silk Road was not one paved road joining China directly to Europe. It was a changing network of land and sea routes connecting markets across Eurasia. Silk gave the network its modern name, but metals, horses, glass, spices, textiles, and many other goods moved through it. Religions, artistic forms, technologies, languages, and diseases travelled with merchants and armies. The network mattered because exchange accumulated across many partial journeys.</w:t>
      </w:r>
    </w:p>
    <w:p>
      <w:pPr/>
      <w:r>
        <w:rPr>
          <w:b w:val="0"/>
          <w:i w:val="0"/>
        </w:rPr>
        <w:t>Few traders crossed the entire distance. A merchant might carry goods to one market, sell them to an intermediary, and turn home. The next trader moved them farther. This reduced the burden on any one person while giving intermediate hubs power over storage, information, and price. Caravanserais helped make difficult stretches usable, particularly where water, safety, and shelter could not be assumed. The route was therefore not simply a line through space. It was a chain of institutions capable of sustaining movement.</w:t>
      </w:r>
    </w:p>
    <w:p>
      <w:pPr/>
      <w:r>
        <w:rPr>
          <w:b w:val="0"/>
          <w:i w:val="0"/>
        </w:rPr>
        <w:t>The word "Silk Road" can hide complexity too. Routes shifted with empires, conflict, climate, and technology. Steppe communities and nomadic intermediaries are easy to erase when a map shows only famous cities at either end. A good history should keep the network plural and ask who performed the labour in the middle.</w:t>
      </w:r>
    </w:p>
    <w:p>
      <w:pPr>
        <w:pStyle w:val="Heading2"/>
      </w:pPr>
      <w:r>
        <w:rPr>
          <w:b w:val="0"/>
          <w:i w:val="0"/>
        </w:rPr>
        <w:t>Piraeus and Tyre: ports that made position into power</w:t>
      </w:r>
    </w:p>
    <w:p>
      <w:pPr/>
      <w:r>
        <w:rPr>
          <w:b/>
          <w:i w:val="0"/>
        </w:rPr>
        <w:t>Piraeus</w:t>
      </w:r>
      <w:r>
        <w:rPr>
          <w:b w:val="0"/>
          <w:i w:val="0"/>
        </w:rPr>
        <w:t xml:space="preserve"> became the great port of ancient Athens. Its protected harbours and connection to the city allowed Athens to concentrate imports, naval power, and transit trade outside the inland urban centre. Defensive walls tied port and city into one strategic system. Goods passing through the port also generated customs revenue. Piraeus shows that a hub is built through political decisions and infrastructure as well as natural geography. A suitable harbour matters, but walls, docks, roads, law, and security turn geography into power.</w:t>
      </w:r>
    </w:p>
    <w:p>
      <w:pPr/>
      <w:r>
        <w:rPr>
          <w:b/>
          <w:i w:val="0"/>
        </w:rPr>
        <w:t>Tyre</w:t>
      </w:r>
      <w:r>
        <w:rPr>
          <w:b w:val="0"/>
          <w:i w:val="0"/>
        </w:rPr>
        <w:t>, called Tyrus in the official prompt, was a major Phoenician maritime city on the coast of what is now Lebanon. Its sailors and trading networks connected the eastern Mediterranean to distant markets. Tyrian purple, produced through an expensive process from sea snails, became a prestigious commodity associated with rulers and elites. The city's former island position helped make it defensible as well as commercially connected.</w:t>
      </w:r>
    </w:p>
    <w:p>
      <w:pPr/>
      <w:r>
        <w:rPr>
          <w:b w:val="0"/>
          <w:i w:val="0"/>
        </w:rPr>
        <w:t>Alexander the Great's siege in 332 BCE demonstrates that the geography of a hub can be violently rewritten. His forces built a causeway from the mainland to reach the island city. Sediment later accumulated around it, and Tyre ceased to be an island. A trade hub may gain power from its location, but conflict can destroy, capture, or physically transform the route that created it.</w:t>
      </w:r>
    </w:p>
    <w:p>
      <w:pPr>
        <w:pStyle w:val="Heading2"/>
      </w:pPr>
      <w:r>
        <w:rPr>
          <w:b w:val="0"/>
          <w:i w:val="0"/>
        </w:rPr>
        <w:t>Lothal and Carthage: archaeology, trade, and contested stories</w:t>
      </w:r>
    </w:p>
    <w:p>
      <w:pPr/>
      <w:r>
        <w:rPr>
          <w:b/>
          <w:i w:val="0"/>
        </w:rPr>
        <w:t>Lothal</w:t>
      </w:r>
      <w:r>
        <w:rPr>
          <w:b w:val="0"/>
          <w:i w:val="0"/>
        </w:rPr>
        <w:t xml:space="preserve"> was a settlement of the Indus civilization in what is now Gujarat, India. Archaeology has revealed craft production, beads, trade goods, and a large brick-lined basin often described as a dockyard. That interpretation is famous, but it should be presented carefully. Scholars have debated whether the basin functioned as a dock, reservoir, or part of a more complex water system. The safe conclusion is that Lothal was connected to exchange and sophisticated water management. The stronger claim that it contains the world's earliest dockyard requires a source that addresses the debate directly.</w:t>
      </w:r>
    </w:p>
    <w:p>
      <w:pPr/>
      <w:r>
        <w:rPr>
          <w:b/>
          <w:i w:val="0"/>
        </w:rPr>
        <w:t>Carthage</w:t>
      </w:r>
      <w:r>
        <w:rPr>
          <w:b w:val="0"/>
          <w:i w:val="0"/>
        </w:rPr>
        <w:t xml:space="preserve"> grew on the North African coast near modern Tunis and became one of the ancient Mediterranean's great commercial powers. Its Phoenician connections linked it culturally to cities such as Tyre, while its position supported networks reaching Iberia, islands, and the western Mediterranean. Metals, agricultural products, luxury goods, and manufactured objects contributed to its wealth. Trade and naval power supported each other.</w:t>
      </w:r>
    </w:p>
    <w:p>
      <w:pPr/>
      <w:r>
        <w:rPr>
          <w:b w:val="0"/>
          <w:i w:val="0"/>
        </w:rPr>
        <w:t>Carthage also shows that hub power attracts conflict. Competition with Rome developed into the Punic Wars, ending in conquest and the destruction of the Carthaginian city in 146 BCE. A route does not simply reward the best location. Military power can seize the market, break the network, or rebuild it under another empire.</w:t>
      </w:r>
    </w:p>
    <w:p>
      <w:pPr>
        <w:pStyle w:val="Heading2"/>
      </w:pPr>
      <w:r>
        <w:rPr>
          <w:b w:val="0"/>
          <w:i w:val="0"/>
        </w:rPr>
        <w:t>Shimoda and Hakodate: what did it mean to open a port?</w:t>
      </w:r>
    </w:p>
    <w:p>
      <w:pPr/>
      <w:r>
        <w:rPr>
          <w:b w:val="0"/>
          <w:i w:val="0"/>
        </w:rPr>
        <w:t xml:space="preserve">The official list pairs </w:t>
      </w:r>
      <w:r>
        <w:rPr>
          <w:b/>
          <w:i w:val="0"/>
        </w:rPr>
        <w:t>Shimoda and Hakodate</w:t>
      </w:r>
      <w:r>
        <w:rPr>
          <w:b w:val="0"/>
          <w:i w:val="0"/>
        </w:rPr>
        <w:t xml:space="preserve"> because both became points of contact during the forced opening of Japan in the nineteenth century. The wording needs precision. Commodore Matthew Perry arrived with American warships in 1853. The United States wanted safe harbours, help for shipwrecked sailors, and stations where steamships crossing the Pacific could obtain coal and provisions. The display of naval force was part of the negotiation.</w:t>
      </w:r>
    </w:p>
    <w:p>
      <w:pPr/>
      <w:r>
        <w:rPr>
          <w:b w:val="0"/>
          <w:i w:val="0"/>
        </w:rPr>
        <w:t>Under the Treaty of Kanagawa in 1854, Shimoda and Hakodate were opened to American ships for supplies, assistance, and consular contact. The agreement was not yet a general commercial treaty. The broader right to trade came through the Harris Treaty of 1858 and related agreements with other powers. Saying that the 1854 treaty simply "opened Japan to foreign trade" compresses several different rights into one phrase and hides the coercion involved.</w:t>
      </w:r>
    </w:p>
    <w:p>
      <w:pPr/>
      <w:r>
        <w:rPr>
          <w:b w:val="0"/>
          <w:i w:val="0"/>
        </w:rPr>
        <w:t>The distinction connects directly to the branch vocabulary. A port can open for refuge and provisions without becoming an unrestricted market. Legal permission determines what kind of arrival has occurred. An American vessel could enter, refuel, and depart before its merchants possessed the right to conduct general trade.</w:t>
      </w:r>
    </w:p>
    <w:p>
      <w:pPr>
        <w:pStyle w:val="Heading2"/>
      </w:pPr>
      <w:r>
        <w:rPr>
          <w:b w:val="0"/>
          <w:i w:val="0"/>
        </w:rPr>
        <w:t>Malacca and Istanbul: power at the narrow passage</w:t>
      </w:r>
    </w:p>
    <w:p>
      <w:pPr/>
      <w:r>
        <w:rPr>
          <w:b/>
          <w:i w:val="0"/>
        </w:rPr>
        <w:t>Malacca</w:t>
      </w:r>
      <w:r>
        <w:rPr>
          <w:b w:val="0"/>
          <w:i w:val="0"/>
        </w:rPr>
        <w:t xml:space="preserve"> grew near the Strait of Malacca, the crucial maritime passage between the Indian Ocean and the seas of East and Southeast Asia. Its harbour and monsoon position allowed merchants from different regions to meet without every ship completing the whole route. Protection and diplomatic relations, including ties with Ming China, helped the port develop as a centre of the spice trade in the fifteenth century.</w:t>
      </w:r>
    </w:p>
    <w:p>
      <w:pPr/>
      <w:r>
        <w:rPr>
          <w:b w:val="0"/>
          <w:i w:val="0"/>
        </w:rPr>
        <w:t>Portuguese conquest in 1511 did not merely replace one flag above the same commercial machine. Violence and attempts to control trade disrupted existing relationships and encouraged traffic to rival ports. Dutch and British rule later altered the network again. Malacca demonstrates that a chokepoint creates opportunity, but political control can either support an exchange system or damage the trust and flexibility on which it depends.</w:t>
      </w:r>
    </w:p>
    <w:p>
      <w:pPr/>
      <w:r>
        <w:rPr>
          <w:b/>
          <w:i w:val="0"/>
        </w:rPr>
        <w:t>Istanbul</w:t>
      </w:r>
      <w:r>
        <w:rPr>
          <w:b w:val="0"/>
          <w:i w:val="0"/>
        </w:rPr>
        <w:t xml:space="preserve"> occupies another strategic passage. The Bosporus connects the Black Sea to the Mediterranean system and separates, while also joining, Europe and Asia. The city known in different periods as Byzantium, Constantinople, and Istanbul became a capital of empires because political power and trade routes met at the same place. Ships, armies, pilgrims, and goods crossed through its waters and markets.</w:t>
      </w:r>
    </w:p>
    <w:p>
      <w:pPr/>
      <w:r>
        <w:rPr>
          <w:b w:val="0"/>
          <w:i w:val="0"/>
        </w:rPr>
        <w:t>Its history warns against a simple claim that a city succeeds because it is "between East and West." Straits are governed, fortified, taxed, blockaded, and contested. The value of the location depends on who controls passage and which wider routes remain open. The city is not a passive bridge. It has repeatedly shaped the terms on which movement occurs.</w:t>
      </w:r>
    </w:p>
    <w:p>
      <w:pPr>
        <w:pStyle w:val="Heading2"/>
      </w:pPr>
      <w:r>
        <w:rPr>
          <w:b w:val="0"/>
          <w:i w:val="0"/>
        </w:rPr>
        <w:t>Chicago and Hong Kong: modern hubs are still middle places</w:t>
      </w:r>
    </w:p>
    <w:p>
      <w:pPr/>
      <w:r>
        <w:rPr>
          <w:b/>
          <w:i w:val="0"/>
        </w:rPr>
        <w:t>Chicago</w:t>
      </w:r>
      <w:r>
        <w:rPr>
          <w:b w:val="0"/>
          <w:i w:val="0"/>
        </w:rPr>
        <w:t xml:space="preserve"> proves that a global trade hub need not stand on an ocean coast. The Chicago Portage linked the waters flowing toward the Great Lakes and St Lawrence system with those reaching the Mississippi basin. Canals, then railways, turned that geographical possibility into an enormous transport network. Grain, lumber, livestock, manufactured goods, and financial contracts moved through a city positioned between agricultural production and distant consumers.</w:t>
      </w:r>
    </w:p>
    <w:p>
      <w:pPr/>
      <w:r>
        <w:rPr>
          <w:b w:val="0"/>
          <w:i w:val="0"/>
        </w:rPr>
        <w:t>Chicago's importance came from combining modes. Cargo could move between water, rail, road, warehouse, and market. That is the modern logic of an inland entrepôt. The city did not need to be the origin of every product or the final home of every buyer. It gained power by sorting, financing, pricing, processing, and redirecting flows.</w:t>
      </w:r>
    </w:p>
    <w:p>
      <w:pPr/>
      <w:r>
        <w:rPr>
          <w:b/>
          <w:i w:val="0"/>
        </w:rPr>
        <w:t>Hong Kong</w:t>
      </w:r>
      <w:r>
        <w:rPr>
          <w:b w:val="0"/>
          <w:i w:val="0"/>
        </w:rPr>
        <w:t xml:space="preserve"> combines geography with a distinctive customs regime. Hong Kong Customs describes the territory as a free port with no general customs tariff on imports or exports. Excise duties apply to four categories: liquor, tobacco, hydrocarbon oil, and methyl alcohol. Cargo arriving by air, land, and sea remains under customs control, usually through documents and selective inspection. A free port is therefore not a place without customs. It is a place where customs operates under unusually low-tariff rules.</w:t>
      </w:r>
    </w:p>
    <w:p>
      <w:pPr/>
      <w:r>
        <w:rPr>
          <w:b w:val="0"/>
          <w:i w:val="0"/>
        </w:rPr>
        <w:t>Hong Kong's colonial history, manufacturing growth, and later role as a financial and service centre made it a gateway between mainland China and global markets. Its position supported transshipment, but policy and business networks were equally important. Competition from mainland ports shows that hub status is never permanent. Shippers can change routes when cost, capacity, law, or political risk changes.</w:t>
      </w:r>
    </w:p>
    <w:p>
      <w:pPr>
        <w:pStyle w:val="Heading2"/>
      </w:pPr>
      <w:r>
        <w:rPr>
          <w:b w:val="0"/>
          <w:i w:val="0"/>
        </w:rPr>
        <w:t>Why hubs create both efficiency and vulnerability</w:t>
      </w:r>
    </w:p>
    <w:p>
      <w:pPr/>
      <w:r>
        <w:rPr>
          <w:b w:val="0"/>
          <w:i w:val="0"/>
        </w:rPr>
        <w:t>Modern container shipping concentrates connections in a limited number of gateways and transshipment hubs. UN Trade and Development reported that in 2020, twenty-five ports accounted for 17.7 per cent of accumulated liner-shipping connectivity. Concentration brings efficiency: large ships can connect major hubs while smaller services distribute cargo regionally. It also spreads disruption. If one highly connected port closes because of conflict, disaster, labour action, or infrastructure failure, delays travel across many routes that never physically pass near the original event.</w:t>
      </w:r>
    </w:p>
    <w:p>
      <w:pPr/>
      <w:r>
        <w:rPr>
          <w:b w:val="0"/>
          <w:i w:val="0"/>
        </w:rPr>
        <w:t>The same pattern appeared at smaller scales throughout the chapter. A caravanserai made a desert route usable but also concentrated travellers at a particular protected stop. Piraeus joined Athens to maritime trade while becoming a military target. Malacca profited from a strait that conquerors wanted to control. Chicago accelerated exchange by pulling rail and commodity networks into one city. A hub reduces the difficulty of movement by making the network depend more heavily on the hub.</w:t>
      </w:r>
    </w:p>
    <w:p>
      <w:pPr>
        <w:pStyle w:val="Heading2"/>
      </w:pPr>
      <w:r>
        <w:rPr>
          <w:b w:val="0"/>
          <w:i w:val="0"/>
        </w:rPr>
        <w:t>Duty-free is not the same as free trade</w:t>
      </w:r>
    </w:p>
    <w:p>
      <w:pPr/>
      <w:r>
        <w:rPr>
          <w:b w:val="0"/>
          <w:i w:val="0"/>
        </w:rPr>
        <w:t xml:space="preserve">The section title invites one final distinction. A duty-free shop sells certain goods to eligible travellers without some taxes or import duties, usually under rules tied to international departure and personal allowance. A free zone changes the customs treatment of commercial goods within a designated area. A free port describes a broader low-tariff regime such as Hong Kong's. An entrepôt is a trading and storage function. These ideas overlap, but the shared word </w:t>
      </w:r>
      <w:r>
        <w:rPr>
          <w:b w:val="0"/>
          <w:i/>
        </w:rPr>
        <w:t>free</w:t>
      </w:r>
      <w:r>
        <w:rPr>
          <w:b w:val="0"/>
          <w:i w:val="0"/>
        </w:rPr>
        <w:t xml:space="preserve"> does not make them the same system.</w:t>
      </w:r>
    </w:p>
    <w:p>
      <w:pPr/>
      <w:r>
        <w:rPr>
          <w:b w:val="0"/>
          <w:i w:val="0"/>
        </w:rPr>
        <w:t>Freedom for goods is also selective. Customs rules decide which products enter, how long they remain, what processing is allowed, and what happens when they move into the domestic market. Warehouses, scanners, manifests, inspectors, insurance, and security surround the supposedly frictionless journey. The smoother the final delivery appears, the more infrastructure has usually disappeared from the buyer's view.</w:t>
      </w:r>
    </w:p>
    <w:p>
      <w:pPr>
        <w:pStyle w:val="WSCSourceNote"/>
        <w:shd w:fill="F7EACC" w:val="clear"/>
        <w:pBdr>
          <w:left w:val="single" w:sz="14" w:space="6" w:color="C89C44"/>
        </w:pBdr>
      </w:pPr>
      <w:r>
        <w:rPr>
          <w:b/>
          <w:i w:val="0"/>
        </w:rPr>
        <w:t>Sources for this chapter:</w:t>
      </w:r>
      <w:r>
        <w:rPr>
          <w:b w:val="0"/>
          <w:i w:val="0"/>
        </w:rPr>
        <w:t xml:space="preserve"> The official WSC prompt names the five terms and ten hubs but supplies no separate hyperlinks for them. They are still required curriculum content. Use </w:t>
      </w:r>
      <w:hyperlink r:id="rId14">
        <w:r>
          <w:rPr>
            <w:rStyle w:val="WSCLink"/>
            <w:rFonts w:ascii="Georgia" w:hAnsi="Georgia" w:eastAsia="Georgia" w:cs="Georgia"/>
            <w:color w:val="825F1F"/>
            <w:u w:val="single"/>
          </w:rPr>
          <w:t>UNESCO's Persian Caravanserai</w:t>
        </w:r>
      </w:hyperlink>
      <w:r>
        <w:rPr>
          <w:b w:val="0"/>
          <w:i w:val="0"/>
        </w:rPr>
        <w:t xml:space="preserve"> and the </w:t>
      </w:r>
      <w:hyperlink r:id="rId35">
        <w:r>
          <w:rPr>
            <w:rStyle w:val="WSCLink"/>
            <w:rFonts w:ascii="Georgia" w:hAnsi="Georgia" w:eastAsia="Georgia" w:cs="Georgia"/>
            <w:color w:val="825F1F"/>
            <w:u w:val="single"/>
          </w:rPr>
          <w:t>Chang'an-Tianshan Silk Roads corridor</w:t>
        </w:r>
      </w:hyperlink>
      <w:r>
        <w:rPr>
          <w:b w:val="0"/>
          <w:i w:val="0"/>
        </w:rPr>
        <w:t xml:space="preserve"> for the overland network. The </w:t>
      </w:r>
      <w:hyperlink r:id="rId36">
        <w:r>
          <w:rPr>
            <w:rStyle w:val="WSCLink"/>
            <w:rFonts w:ascii="Georgia" w:hAnsi="Georgia" w:eastAsia="Georgia" w:cs="Georgia"/>
            <w:color w:val="825F1F"/>
            <w:u w:val="single"/>
          </w:rPr>
          <w:t>World Customs Organization's Specific Annex D</w:t>
        </w:r>
      </w:hyperlink>
      <w:r>
        <w:rPr>
          <w:b w:val="0"/>
          <w:i w:val="0"/>
        </w:rPr>
        <w:t xml:space="preserve"> supplies the precise free-zone definition, while </w:t>
      </w:r>
      <w:hyperlink r:id="rId37">
        <w:r>
          <w:rPr>
            <w:rStyle w:val="WSCLink"/>
            <w:rFonts w:ascii="Georgia" w:hAnsi="Georgia" w:eastAsia="Georgia" w:cs="Georgia"/>
            <w:color w:val="825F1F"/>
            <w:u w:val="single"/>
          </w:rPr>
          <w:t>UN Trade and Development</w:t>
        </w:r>
      </w:hyperlink>
      <w:r>
        <w:rPr>
          <w:b w:val="0"/>
          <w:i w:val="0"/>
        </w:rPr>
        <w:t xml:space="preserve"> explains port connectivity and shipping-network concentration. For the named hubs, consult the Greek Ministry of Culture's </w:t>
      </w:r>
      <w:hyperlink r:id="rId38">
        <w:r>
          <w:rPr>
            <w:rStyle w:val="WSCLink"/>
            <w:rFonts w:ascii="Georgia" w:hAnsi="Georgia" w:eastAsia="Georgia" w:cs="Georgia"/>
            <w:color w:val="825F1F"/>
            <w:u w:val="single"/>
          </w:rPr>
          <w:t>Piraeus museum history</w:t>
        </w:r>
      </w:hyperlink>
      <w:r>
        <w:rPr>
          <w:b w:val="0"/>
          <w:i w:val="0"/>
        </w:rPr>
        <w:t xml:space="preserve">; UNESCO's entries for </w:t>
      </w:r>
      <w:hyperlink r:id="rId39">
        <w:r>
          <w:rPr>
            <w:rStyle w:val="WSCLink"/>
            <w:rFonts w:ascii="Georgia" w:hAnsi="Georgia" w:eastAsia="Georgia" w:cs="Georgia"/>
            <w:color w:val="825F1F"/>
            <w:u w:val="single"/>
          </w:rPr>
          <w:t>Tyre</w:t>
        </w:r>
      </w:hyperlink>
      <w:r>
        <w:rPr>
          <w:b w:val="0"/>
          <w:i w:val="0"/>
        </w:rPr>
        <w:t xml:space="preserve">, </w:t>
      </w:r>
      <w:hyperlink r:id="rId40">
        <w:r>
          <w:rPr>
            <w:rStyle w:val="WSCLink"/>
            <w:rFonts w:ascii="Georgia" w:hAnsi="Georgia" w:eastAsia="Georgia" w:cs="Georgia"/>
            <w:color w:val="825F1F"/>
            <w:u w:val="single"/>
          </w:rPr>
          <w:t>Lothal</w:t>
        </w:r>
      </w:hyperlink>
      <w:r>
        <w:rPr>
          <w:b w:val="0"/>
          <w:i w:val="0"/>
        </w:rPr>
        <w:t xml:space="preserve">, </w:t>
      </w:r>
      <w:hyperlink r:id="rId41">
        <w:r>
          <w:rPr>
            <w:rStyle w:val="WSCLink"/>
            <w:rFonts w:ascii="Georgia" w:hAnsi="Georgia" w:eastAsia="Georgia" w:cs="Georgia"/>
            <w:color w:val="825F1F"/>
            <w:u w:val="single"/>
          </w:rPr>
          <w:t>Carthage</w:t>
        </w:r>
      </w:hyperlink>
      <w:r>
        <w:rPr>
          <w:b w:val="0"/>
          <w:i w:val="0"/>
        </w:rPr>
        <w:t xml:space="preserve">, </w:t>
      </w:r>
      <w:hyperlink r:id="rId42">
        <w:r>
          <w:rPr>
            <w:rStyle w:val="WSCLink"/>
            <w:rFonts w:ascii="Georgia" w:hAnsi="Georgia" w:eastAsia="Georgia" w:cs="Georgia"/>
            <w:color w:val="825F1F"/>
            <w:u w:val="single"/>
          </w:rPr>
          <w:t>Melaka</w:t>
        </w:r>
      </w:hyperlink>
      <w:r>
        <w:rPr>
          <w:b w:val="0"/>
          <w:i w:val="0"/>
        </w:rPr>
        <w:t xml:space="preserve">, and </w:t>
      </w:r>
      <w:hyperlink r:id="rId43">
        <w:r>
          <w:rPr>
            <w:rStyle w:val="WSCLink"/>
            <w:rFonts w:ascii="Georgia" w:hAnsi="Georgia" w:eastAsia="Georgia" w:cs="Georgia"/>
            <w:color w:val="825F1F"/>
            <w:u w:val="single"/>
          </w:rPr>
          <w:t>Istanbul</w:t>
        </w:r>
      </w:hyperlink>
      <w:r>
        <w:rPr>
          <w:b w:val="0"/>
          <w:i w:val="0"/>
        </w:rPr>
        <w:t xml:space="preserve">; the </w:t>
      </w:r>
      <w:hyperlink r:id="rId44">
        <w:r>
          <w:rPr>
            <w:rStyle w:val="WSCLink"/>
            <w:rFonts w:ascii="Georgia" w:hAnsi="Georgia" w:eastAsia="Georgia" w:cs="Georgia"/>
            <w:color w:val="825F1F"/>
            <w:u w:val="single"/>
          </w:rPr>
          <w:t>United States Office of the Historian</w:t>
        </w:r>
      </w:hyperlink>
      <w:r>
        <w:rPr>
          <w:b w:val="0"/>
          <w:i w:val="0"/>
        </w:rPr>
        <w:t xml:space="preserve"> for Shimoda and Hakodate; the </w:t>
      </w:r>
      <w:hyperlink r:id="rId45">
        <w:r>
          <w:rPr>
            <w:rStyle w:val="WSCLink"/>
            <w:rFonts w:ascii="Georgia" w:hAnsi="Georgia" w:eastAsia="Georgia" w:cs="Georgia"/>
            <w:color w:val="825F1F"/>
            <w:u w:val="single"/>
          </w:rPr>
          <w:t>US National Park Service</w:t>
        </w:r>
      </w:hyperlink>
      <w:r>
        <w:rPr>
          <w:b w:val="0"/>
          <w:i w:val="0"/>
        </w:rPr>
        <w:t xml:space="preserve"> for the Chicago Portage; and </w:t>
      </w:r>
      <w:hyperlink r:id="rId46">
        <w:r>
          <w:rPr>
            <w:rStyle w:val="WSCLink"/>
            <w:rFonts w:ascii="Georgia" w:hAnsi="Georgia" w:eastAsia="Georgia" w:cs="Georgia"/>
            <w:color w:val="825F1F"/>
            <w:u w:val="single"/>
          </w:rPr>
          <w:t>Hong Kong Customs</w:t>
        </w:r>
      </w:hyperlink>
      <w:r>
        <w:rPr>
          <w:b w:val="0"/>
          <w:i w:val="0"/>
        </w:rPr>
        <w:t xml:space="preserve"> for the free-port regime.</w:t>
      </w:r>
    </w:p>
    <w:p>
      <w:pPr>
        <w:pStyle w:val="Heading1"/>
        <w:pBdr>
          <w:bottom w:val="single" w:sz="9" w:space="5" w:color="C89C44"/>
        </w:pBdr>
      </w:pPr>
      <w:r>
        <w:rPr>
          <w:b w:val="0"/>
          <w:i w:val="0"/>
        </w:rPr>
        <w:t>What the whole route reveals</w:t>
      </w:r>
    </w:p>
    <w:p>
      <w:pPr/>
      <w:r>
        <w:rPr>
          <w:b w:val="0"/>
          <w:i w:val="0"/>
        </w:rPr>
        <w:t>At the beginning of the section, a traveller pauses because a body or an animal needs care. By the end, a container pauses because a network needs storage, customs, and transfer. Between those points, travel becomes education, status, mass consumption, nostalgia, and a search for authenticity. The six branches are not six unrelated piles of facts. They show how an intermediate place can become an institution and how that institution changes the movement passing through it.</w:t>
      </w:r>
    </w:p>
    <w:p>
      <w:pPr/>
      <w:r>
        <w:rPr>
          <w:b w:val="0"/>
          <w:i w:val="0"/>
        </w:rPr>
        <w:t>A post house keeps a relay moving. A caravanserai makes a difficult overland route usable. A Grand Tourist turns the journey into proof of education and class. A package holiday combines transport, time, and service so that millions can travel. A recommendation platform creates a route by making one location visible. An entrepôt and a transshipment port allow goods to arrive without being finished with their journey.</w:t>
      </w:r>
    </w:p>
    <w:p>
      <w:pPr/>
      <w:r>
        <w:rPr>
          <w:b w:val="0"/>
          <w:i w:val="0"/>
        </w:rPr>
        <w:t>The strongest questions in this section begin with something concrete, then ask what kind of system it reveals. If a courtyard contains stables and locked storage, what route was it designed to support? If a statistic counts international arrivals, what exactly is the unit? If a photograph shows an elegant cabin, which travellers and costs remain outside the frame? If a visitor calls an experience authentic, who controlled it and who benefited? If a container is lifted from one ship to another, which term describes the operation and what extra evidence would be needed to call the port an entrepôt or free zone?</w:t>
      </w:r>
    </w:p>
    <w:p>
      <w:pPr/>
      <w:r>
        <w:rPr>
          <w:b w:val="0"/>
          <w:i w:val="0"/>
        </w:rPr>
        <w:t>Arrival is rarely one event. A traveller arrives at a hotel before reaching a destination. A photograph arrives on a platform before a crowd arrives at a cove. A merchant's goods arrive at several markets before reaching a buyer. Every temporary arrival changes what can happen next.</w:t>
      </w:r>
    </w:p>
    <w:sectPr w:rsidR="00FC693F" w:rsidRPr="0006063C" w:rsidSect="00034616">
      <w:headerReference w:type="first" r:id="rId9"/>
      <w:footerReference w:type="default" r:id="rId10"/>
      <w:footerReference w:type="first" r:id="rId11"/>
      <w:pgSz w:w="11906" w:h="16838"/>
      <w:pgMar w:top="1134" w:right="1134" w:bottom="1077" w:left="1134" w:header="340"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100" w:after="0"/>
      <w:jc w:val="left"/>
      <w:pBdr>
        <w:top w:val="single" w:sz="8" w:space="4" w:color="C89C44"/>
      </w:pBdr>
    </w:pPr>
    <w:r>
      <w:rPr>
        <w:rFonts w:ascii="Avenir Next" w:hAnsi="Avenir Next" w:eastAsia="Avenir Next"/>
        <w:b/>
        <w:color w:val="6D5238"/>
        <w:sz w:val="14"/>
      </w:rPr>
      <w:t>CALL OF DUTY-FREE</w:t>
    </w:r>
    <w:r>
      <w:rPr>
        <w:rFonts w:ascii="Avenir Next" w:hAnsi="Avenir Next"/>
        <w:color w:val="6D5238"/>
        <w:sz w:val="14"/>
      </w:rPr>
      <w:tab/>
      <w:t xml:space="preserve">PAGE </w:t>
    </w:r>
    <w:r>
      <w:fldChar w:fldCharType="begin"/>
    </w:r>
    <w:r>
      <w:instrText xml:space="preserve"> PAGE </w:instrText>
    </w:r>
    <w:r>
      <w:fldChar w:fldCharType="separate"/>
    </w:r>
    <w:r>
      <w:t>1</w:t>
    </w:r>
    <w:r>
      <w:fldChar w:fldCharType="end"/>
    </w:r>
    <w:r>
      <w:rPr>
        <w:rFonts w:ascii="Avenir Next" w:hAnsi="Avenir Next"/>
        <w:color w:val="6D5238"/>
        <w:sz w:val="14"/>
      </w:rPr>
      <w:t xml:space="preserve"> OF </w:t>
    </w:r>
    <w:r>
      <w:fldChar w:fldCharType="begin"/>
    </w:r>
    <w:r>
      <w:instrText xml:space="preserve"> NUMPAGES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100" w:after="0"/>
      <w:jc w:val="left"/>
      <w:pBdr>
        <w:top w:val="single" w:sz="8" w:space="4" w:color="C89C44"/>
      </w:pBdr>
    </w:pPr>
    <w:r>
      <w:rPr>
        <w:rFonts w:ascii="Avenir Next" w:hAnsi="Avenir Next" w:eastAsia="Avenir Next"/>
        <w:b/>
        <w:color w:val="6D5238"/>
        <w:sz w:val="14"/>
      </w:rPr>
      <w:t>CALL OF DUTY-FREE</w:t>
    </w:r>
    <w:r>
      <w:rPr>
        <w:rFonts w:ascii="Avenir Next" w:hAnsi="Avenir Next"/>
        <w:color w:val="6D5238"/>
        <w:sz w:val="14"/>
      </w:rPr>
      <w:tab/>
      <w:t xml:space="preserve">PAGE </w:t>
    </w:r>
    <w:r>
      <w:fldChar w:fldCharType="begin"/>
    </w:r>
    <w:r>
      <w:instrText xml:space="preserve"> PAGE </w:instrText>
    </w:r>
    <w:r>
      <w:fldChar w:fldCharType="separate"/>
    </w:r>
    <w:r>
      <w:t>1</w:t>
    </w:r>
    <w:r>
      <w:fldChar w:fldCharType="end"/>
    </w:r>
    <w:r>
      <w:rPr>
        <w:rFonts w:ascii="Avenir Next" w:hAnsi="Avenir Next"/>
        <w:color w:val="6D5238"/>
        <w:sz w:val="14"/>
      </w:rP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585216" cy="515816"/>
          <wp:docPr id="1" name="Picture 1" title="WSCapp Guide mascot" descr="Guide, the WSCapp guide mascot"/>
          <wp:cNvGraphicFramePr>
            <a:graphicFrameLocks noChangeAspect="1"/>
          </wp:cNvGraphicFramePr>
          <a:graphic>
            <a:graphicData uri="http://schemas.openxmlformats.org/drawingml/2006/picture">
              <pic:pic>
                <pic:nvPicPr>
                  <pic:cNvPr id="0" name="Guide.png"/>
                  <pic:cNvPicPr/>
                </pic:nvPicPr>
                <pic:blipFill>
                  <a:blip r:embed="rId1"/>
                  <a:stretch>
                    <a:fillRect/>
                  </a:stretch>
                </pic:blipFill>
                <pic:spPr>
                  <a:xfrm>
                    <a:off x="0" y="0"/>
                    <a:ext cx="585216" cy="51581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6" w:lineRule="auto" w:after="140"/>
    </w:pPr>
    <w:rPr>
      <w:rFonts w:ascii="Georgia" w:hAnsi="Georgia" w:eastAsia="Georgia" w:cs="Georgia"/>
      <w:color w:val="412A17"/>
      <w:sz w:val="2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venir Next" w:hAnsi="Avenir Next" w:eastAsia="Avenir Next" w:cs="Avenir Next"/>
      <w:color w:val="6D5238"/>
      <w:sz w:val="14"/>
      <w:lang w:val="en-U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80"/>
      <w:outlineLvl w:val="0"/>
    </w:pPr>
    <w:rPr>
      <w:rFonts w:asciiTheme="majorHAnsi" w:eastAsiaTheme="majorEastAsia" w:hAnsiTheme="majorHAnsi" w:cstheme="majorBidi" w:ascii="Avenir Next" w:hAnsi="Avenir Next" w:eastAsia="Avenir Next" w:cs="Avenir Next"/>
      <w:b/>
      <w:bCs/>
      <w:color w:val="6B4E16"/>
      <w:sz w:val="38"/>
      <w:szCs w:val="28"/>
      <w:lang w:val="en-US"/>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venir Next" w:hAnsi="Avenir Next" w:eastAsia="Avenir Next" w:cs="Avenir Next"/>
      <w:b/>
      <w:bCs/>
      <w:color w:val="412A17"/>
      <w:sz w:val="24"/>
      <w:szCs w:val="26"/>
      <w:lang w:val="en-US"/>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venir Next" w:hAnsi="Avenir Next" w:eastAsia="Avenir Next" w:cs="Avenir Next"/>
      <w:b/>
      <w:bCs/>
      <w:color w:val="6B4E16"/>
      <w:sz w:val="21"/>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80"/>
      <w:contextualSpacing/>
    </w:pPr>
    <w:rPr>
      <w:rFonts w:asciiTheme="majorHAnsi" w:eastAsiaTheme="majorEastAsia" w:hAnsiTheme="majorHAnsi" w:cstheme="majorBidi" w:ascii="Avenir Next" w:hAnsi="Avenir Next" w:eastAsia="Avenir Next" w:cs="Avenir Next"/>
      <w:b/>
      <w:color w:val="412A17"/>
      <w:spacing w:val="5"/>
      <w:kern w:val="28"/>
      <w:sz w:val="6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8" w:lineRule="auto"/>
      <w:ind w:left="397" w:hanging="193"/>
      <w:contextualSpacing/>
    </w:pPr>
    <w:rPr>
      <w:rFonts w:ascii="Georgia" w:hAnsi="Georgia" w:eastAsia="Georgia" w:cs="Georgia"/>
      <w:color w:val="412A17"/>
      <w:sz w:val="20"/>
      <w:lang w:val="en-U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8" w:lineRule="auto"/>
      <w:ind w:left="397" w:hanging="193"/>
      <w:contextualSpacing/>
    </w:pPr>
    <w:rPr>
      <w:rFonts w:ascii="Georgia" w:hAnsi="Georgia" w:eastAsia="Georgia" w:cs="Georgia"/>
      <w:color w:val="412A17"/>
      <w:sz w:val="20"/>
      <w:lang w:val="en-U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80" w:line="288" w:lineRule="auto"/>
      <w:ind w:left="397" w:right="283"/>
    </w:pPr>
    <w:rPr>
      <w:rFonts w:ascii="Georgia" w:hAnsi="Georgia" w:eastAsia="Georgia" w:cs="Georgia"/>
      <w:i/>
      <w:iCs/>
      <w:color w:val="6B4E16"/>
      <w:sz w:val="22"/>
      <w:lang w:val="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SCKicker">
    <w:name w:val="WSC Kicker"/>
    <w:basedOn w:val="Normal"/>
    <w:pPr>
      <w:keepNext/>
      <w:spacing w:after="140"/>
    </w:pPr>
    <w:rPr>
      <w:rFonts w:ascii="Avenir Next" w:hAnsi="Avenir Next" w:eastAsia="Avenir Next" w:cs="Avenir Next"/>
      <w:b/>
      <w:color w:val="825F1F"/>
      <w:sz w:val="17"/>
      <w:lang w:val="en-US"/>
    </w:rPr>
  </w:style>
  <w:style w:type="paragraph" w:customStyle="1" w:styleId="WSCSubtitle">
    <w:name w:val="WSC Subtitle"/>
    <w:basedOn w:val="Normal"/>
    <w:pPr>
      <w:keepNext/>
      <w:spacing w:after="360"/>
    </w:pPr>
    <w:rPr>
      <w:rFonts w:ascii="Georgia" w:hAnsi="Georgia" w:eastAsia="Georgia" w:cs="Georgia"/>
      <w:i/>
      <w:color w:val="6D5238"/>
      <w:sz w:val="24"/>
      <w:lang w:val="en-US"/>
    </w:rPr>
  </w:style>
  <w:style w:type="paragraph" w:customStyle="1" w:styleId="WSCEntryLead">
    <w:name w:val="WSC Entry Lead"/>
    <w:basedOn w:val="Normal"/>
    <w:pPr>
      <w:keepNext/>
      <w:spacing w:before="180" w:after="60"/>
    </w:pPr>
    <w:rPr>
      <w:rFonts w:ascii="Avenir Next" w:hAnsi="Avenir Next" w:eastAsia="Avenir Next" w:cs="Avenir Next"/>
      <w:b/>
      <w:color w:val="412A17"/>
      <w:sz w:val="21"/>
      <w:lang w:val="en-US"/>
    </w:rPr>
  </w:style>
  <w:style w:type="paragraph" w:customStyle="1" w:styleId="WSCEntryDetail">
    <w:name w:val="WSC Entry Detail"/>
    <w:basedOn w:val="Normal"/>
    <w:pPr>
      <w:spacing w:after="80" w:line="286" w:lineRule="auto"/>
      <w:ind w:left="198"/>
    </w:pPr>
    <w:rPr>
      <w:rFonts w:ascii="Georgia" w:hAnsi="Georgia" w:eastAsia="Georgia" w:cs="Georgia"/>
      <w:color w:val="412A17"/>
      <w:sz w:val="20"/>
      <w:lang w:val="en-US"/>
    </w:rPr>
  </w:style>
  <w:style w:type="paragraph" w:customStyle="1" w:styleId="WSCOverviewEntry">
    <w:name w:val="WSC Overview Entry"/>
    <w:basedOn w:val="Normal"/>
    <w:pPr>
      <w:keepLines/>
      <w:spacing w:after="70" w:line="259" w:lineRule="auto"/>
      <w:ind w:left="113" w:hanging="113"/>
    </w:pPr>
    <w:rPr>
      <w:rFonts w:ascii="Georgia" w:hAnsi="Georgia" w:eastAsia="Georgia" w:cs="Georgia"/>
      <w:color w:val="412A17"/>
      <w:sz w:val="18"/>
      <w:lang w:val="en-US"/>
    </w:rPr>
  </w:style>
  <w:style w:type="paragraph" w:customStyle="1" w:styleId="WSCSourceNote">
    <w:name w:val="WSC Source Note"/>
    <w:basedOn w:val="Normal"/>
    <w:pPr>
      <w:spacing w:before="80" w:after="100" w:line="259" w:lineRule="auto"/>
      <w:ind w:left="170" w:right="57"/>
    </w:pPr>
    <w:rPr>
      <w:rFonts w:ascii="Georgia" w:hAnsi="Georgia" w:eastAsia="Georgia" w:cs="Georgia"/>
      <w:color w:val="6D5238"/>
      <w:sz w:val="17"/>
      <w:lang w:val="en-US"/>
    </w:rPr>
  </w:style>
  <w:style w:type="paragraph" w:customStyle="1" w:styleId="WSCPitfall">
    <w:name w:val="WSC Pitfall"/>
    <w:basedOn w:val="Normal"/>
    <w:pPr>
      <w:spacing w:before="140" w:after="160" w:line="283" w:lineRule="auto"/>
      <w:ind w:left="227" w:right="113"/>
    </w:pPr>
    <w:rPr>
      <w:rFonts w:ascii="Georgia" w:hAnsi="Georgia" w:eastAsia="Georgia" w:cs="Georgia"/>
      <w:color w:val="412A17"/>
      <w:sz w:val="19"/>
      <w:lang w:val="en-US"/>
    </w:rPr>
  </w:style>
  <w:style w:type="paragraph" w:customStyle="1" w:styleId="WSCStudyQuestion">
    <w:name w:val="WSC Study Question"/>
    <w:basedOn w:val="Normal"/>
    <w:pPr>
      <w:spacing w:before="160" w:after="200" w:line="283" w:lineRule="auto"/>
      <w:ind w:left="227" w:right="113"/>
    </w:pPr>
    <w:rPr>
      <w:rFonts w:ascii="Georgia" w:hAnsi="Georgia" w:eastAsia="Georgia" w:cs="Georgia"/>
      <w:i/>
      <w:color w:val="412A17"/>
      <w:sz w:val="20"/>
      <w:lang w:val="en-US"/>
    </w:rPr>
  </w:style>
  <w:style w:type="character" w:customStyle="1" w:styleId="WSCLink">
    <w:name w:val="WSC Link"/>
    <w:rPr>
      <w:rFonts w:ascii="Georgia" w:hAnsi="Georgia" w:eastAsia="Georgia" w:cs="Georgia"/>
      <w:color w:val="825F1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coursebible.com/posts/the-comprehensive-history-of-hotels-from-ancient-inns-to-modern-luxury" TargetMode="External"/><Relationship Id="rId13" Type="http://schemas.openxmlformats.org/officeDocument/2006/relationships/hyperlink" Target="https://www.youtube.com/watch?v=_8W2LIfl5RE" TargetMode="External"/><Relationship Id="rId14" Type="http://schemas.openxmlformats.org/officeDocument/2006/relationships/hyperlink" Target="https://whc.unesco.org/en/list/1668/" TargetMode="External"/><Relationship Id="rId15" Type="http://schemas.openxmlformats.org/officeDocument/2006/relationships/hyperlink" Target="https://www.guinnessworldrecords.com/world-records/oldest-hotel" TargetMode="External"/><Relationship Id="rId16" Type="http://schemas.openxmlformats.org/officeDocument/2006/relationships/hyperlink" Target="https://www.historic-uk.com/CultureUK/Grand-Tour/" TargetMode="External"/><Relationship Id="rId17" Type="http://schemas.openxmlformats.org/officeDocument/2006/relationships/hyperlink" Target="https://www.thoughtco.com/grand-tour-of-europe-1435014" TargetMode="External"/><Relationship Id="rId18" Type="http://schemas.openxmlformats.org/officeDocument/2006/relationships/hyperlink" Target="https://www.metmuseum.org/de/essays/the-grand-tour" TargetMode="External"/><Relationship Id="rId19" Type="http://schemas.openxmlformats.org/officeDocument/2006/relationships/hyperlink" Target="https://www.bbc.co.uk/bitesize/guides/zkgxsbk/revision/3" TargetMode="External"/><Relationship Id="rId20" Type="http://schemas.openxmlformats.org/officeDocument/2006/relationships/hyperlink" Target="https://www.bbc.co.uk/bitesize/guides/zkgxsbk/revision/7" TargetMode="External"/><Relationship Id="rId21" Type="http://schemas.openxmlformats.org/officeDocument/2006/relationships/hyperlink" Target="https://www.bbc.co.uk/bitesize/guides/zkgxsbk/revision/6" TargetMode="External"/><Relationship Id="rId22" Type="http://schemas.openxmlformats.org/officeDocument/2006/relationships/hyperlink" Target="https://pre-webunwto.s3.eu-west-1.amazonaws.com/s3fs-public/2026-01/260120-international-tourist-arrivals-up-4-in-2025-reflecting-strong-travel-demand-around-the-world-en.pdf" TargetMode="External"/><Relationship Id="rId23" Type="http://schemas.openxmlformats.org/officeDocument/2006/relationships/hyperlink" Target="https://live.comune.venezia.it/it/2025/08/contributo-di-accesso-i-numeri-del-2025" TargetMode="External"/><Relationship Id="rId24" Type="http://schemas.openxmlformats.org/officeDocument/2006/relationships/hyperlink" Target="https://www.transportation.gov/briefing-room/golden-age-travel-starts-you-trumps-transportation-secretary-sean-p-duffy-unveils-new" TargetMode="External"/><Relationship Id="rId25" Type="http://schemas.openxmlformats.org/officeDocument/2006/relationships/hyperlink" Target="https://www.faa.gov/unruly" TargetMode="External"/><Relationship Id="rId26" Type="http://schemas.openxmlformats.org/officeDocument/2006/relationships/hyperlink" Target="https://www.independent.co.uk/travel/news-and-advice/sean-duffy-transport-secretary-air-travel-thanksgiving-request-b2869798.html" TargetMode="External"/><Relationship Id="rId27" Type="http://schemas.openxmlformats.org/officeDocument/2006/relationships/hyperlink" Target="https://www.theatlantic.com/newsletters/archive/2025/07/has-air-travel-ever-been-good/683584/" TargetMode="External"/><Relationship Id="rId28" Type="http://schemas.openxmlformats.org/officeDocument/2006/relationships/hyperlink" Target="https://web.archive.org/web/20250717203429/https://www.theatlantic.com/newsletters/archive/2025/07/has-air-travel-ever-been-good/683584/" TargetMode="External"/><Relationship Id="rId29" Type="http://schemas.openxmlformats.org/officeDocument/2006/relationships/hyperlink" Target="https://www.bbc.com/travel/article/20240718-why-do-tourists-behave-badly-on-holiday" TargetMode="External"/><Relationship Id="rId30" Type="http://schemas.openxmlformats.org/officeDocument/2006/relationships/hyperlink" Target="https://www.tiakinewzealand.com/" TargetMode="External"/><Relationship Id="rId31" Type="http://schemas.openxmlformats.org/officeDocument/2006/relationships/hyperlink" Target="https://www.sixthtone.com/news/1016254" TargetMode="External"/><Relationship Id="rId32" Type="http://schemas.openxmlformats.org/officeDocument/2006/relationships/hyperlink" Target="https://www.gstcouncil.org/wp-content/uploads/GSTC-Destination-Criteria-v2.0-2022.pdf" TargetMode="External"/><Relationship Id="rId33" Type="http://schemas.openxmlformats.org/officeDocument/2006/relationships/hyperlink" Target="https://www.theguardian.com/world/2025/may/19/balearics-hit-back-at-selfie-tourism-as-sites-become-overwhelmed" TargetMode="External"/><Relationship Id="rId34" Type="http://schemas.openxmlformats.org/officeDocument/2006/relationships/hyperlink" Target="https://www.reuters.com/business/environment/no-selfies-please-dolomites-push-back-against-overtourism-ahead-games-2026-01-15/" TargetMode="External"/><Relationship Id="rId35" Type="http://schemas.openxmlformats.org/officeDocument/2006/relationships/hyperlink" Target="https://whc.unesco.org/en/list/1442/" TargetMode="External"/><Relationship Id="rId36" Type="http://schemas.openxmlformats.org/officeDocument/2006/relationships/hyperlink" Target="https://www.wcoomd.org/en/topics/facilitation/instrument-and-tools/conventions/pf_revised_kyoto_conv/kyoto_new/spand.aspx?p=1" TargetMode="External"/><Relationship Id="rId37" Type="http://schemas.openxmlformats.org/officeDocument/2006/relationships/hyperlink" Target="https://resilientmaritimelogistics.unctad.org/guidebook/32-shipping-network" TargetMode="External"/><Relationship Id="rId38" Type="http://schemas.openxmlformats.org/officeDocument/2006/relationships/hyperlink" Target="https://archaeologicalmuseums.culture.gov.gr/en/museum/5df34af3deca5e2d79e8c183/archaeological-museum-of-piraeus" TargetMode="External"/><Relationship Id="rId39" Type="http://schemas.openxmlformats.org/officeDocument/2006/relationships/hyperlink" Target="https://whc.unesco.org/en/list/299/" TargetMode="External"/><Relationship Id="rId40" Type="http://schemas.openxmlformats.org/officeDocument/2006/relationships/hyperlink" Target="https://whc.unesco.org/en/tentativelists/5918/" TargetMode="External"/><Relationship Id="rId41" Type="http://schemas.openxmlformats.org/officeDocument/2006/relationships/hyperlink" Target="https://whc.unesco.org/en/list/37/" TargetMode="External"/><Relationship Id="rId42" Type="http://schemas.openxmlformats.org/officeDocument/2006/relationships/hyperlink" Target="https://whc.unesco.org/en/list/1223/" TargetMode="External"/><Relationship Id="rId43" Type="http://schemas.openxmlformats.org/officeDocument/2006/relationships/hyperlink" Target="https://whc.unesco.org/en/list/356/" TargetMode="External"/><Relationship Id="rId44" Type="http://schemas.openxmlformats.org/officeDocument/2006/relationships/hyperlink" Target="https://history.state.gov/milestones/1830-1860/opening-to-japan" TargetMode="External"/><Relationship Id="rId45" Type="http://schemas.openxmlformats.org/officeDocument/2006/relationships/hyperlink" Target="https://home.nps.gov/places/chicago-portage.htm" TargetMode="External"/><Relationship Id="rId46" Type="http://schemas.openxmlformats.org/officeDocument/2006/relationships/hyperlink" Target="https://www.customs.gov.hk/en/service-enforcement-information/cargo-clearanc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Call of Duty-Free</dc:title>
  <dc:subject>World Scholar's Cup 2026 long-form curriculum guide</dc:subject>
  <dc:creator>WSCapp</dc:creator>
  <cp:keywords>WSCapp, World Scholar's Cup, 2026, study guide</cp:keywords>
  <dc:description>Generated from the semantic guide.html source.</dc:description>
  <cp:lastModifiedBy>WSCapp</cp:lastModifiedBy>
  <cp:revision>1</cp:revision>
  <dcterms:created xsi:type="dcterms:W3CDTF">2026-07-14T00:00:00Z</dcterms:created>
  <dcterms:modified xsi:type="dcterms:W3CDTF">2026-07-14T00:00:00Z</dcterms:modified>
  <cp:category/>
</cp:coreProperties>
</file>