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Going Pains</w:t>
      </w:r>
    </w:p>
    <w:p>
      <w:pPr>
        <w:pStyle w:val="WSCSubtitle"/>
        <w:pBdr>
          <w:bottom w:val="single" w:sz="10" w:space="8" w:color="C89C44"/>
        </w:pBdr>
      </w:pPr>
      <w:r>
        <w:rPr>
          <w:b w:val="0"/>
          <w:i w:val="0"/>
        </w:rPr>
        <w:t>Growing up is a biological process, a social performance, and a journey with no single finish line</w:t>
      </w:r>
    </w:p>
    <w:p>
      <w:pPr>
        <w:pStyle w:val="Heading1"/>
        <w:pBdr>
          <w:bottom w:val="single" w:sz="9" w:space="5" w:color="C89C44"/>
        </w:pBdr>
      </w:pPr>
      <w:r>
        <w:rPr>
          <w:b w:val="0"/>
          <w:i w:val="0"/>
        </w:rPr>
        <w:t>The trouble with arriving at adulthood</w:t>
      </w:r>
    </w:p>
    <w:p>
      <w:pPr/>
      <w:r>
        <w:rPr>
          <w:b w:val="0"/>
          <w:i w:val="0"/>
        </w:rPr>
        <w:t>People speak about childhood and adulthood as though they were countries separated by a border. On one side, someone is dependent, inexperienced, and protected. On the other, the same person is responsible, independent, and supposedly certain of who they are. Real lives do not cross that border in one step. Puberty may begin before a young person is legally allowed to work. A student may be trusted to drive but not to vote. Someone can earn a first paycheck while still asking a parent to schedule a dentist appointment. Biology, law, family, language, and culture draw their lines in different places.</w:t>
      </w:r>
    </w:p>
    <w:p>
      <w:pPr/>
      <w:r>
        <w:rPr>
          <w:b w:val="0"/>
          <w:i/>
        </w:rPr>
        <w:t>Going Pains</w:t>
      </w:r>
      <w:r>
        <w:rPr>
          <w:b w:val="0"/>
          <w:i w:val="0"/>
        </w:rPr>
        <w:t xml:space="preserve"> studies those mismatched lines. The title plays on "growing pains," the aches associated with childhood, but its concern is wider. Change can hurt even when it is wanted. A new status can create freedom and loss at once. The section begins with the modern teenager, passes through the ceremonies and stories by which societies stage adulthood, and ends at death, the last threshold a human life must approach. In between, it asks a difficult question: is adulthood somewhere we arrive, or a role we become more convincing at playing?</w:t>
      </w:r>
    </w:p>
    <w:p>
      <w:pPr/>
      <w:r>
        <w:rPr>
          <w:b w:val="0"/>
          <w:i w:val="0"/>
        </w:rPr>
        <w:t xml:space="preserve">The official WSC prompts and their links form one curriculum. A linked poem, story, article, or performance is not an optional illustration. It often contains the detail that makes a comparison possible. The guide therefore reads the works themselves, corrects attractive scientific shortcuts, and keeps returning to the year's central question, </w:t>
      </w:r>
      <w:r>
        <w:rPr>
          <w:b w:val="0"/>
          <w:i/>
        </w:rPr>
        <w:t>Are We There Yet?</w:t>
      </w:r>
      <w:r>
        <w:rPr>
          <w:b w:val="0"/>
          <w:i w:val="0"/>
        </w:rPr>
        <w:t xml:space="preserve"> In this section, "there" is not a location on a map. It is a status that people claim, grant, delay, and sometimes never fully feel.</w:t>
      </w:r>
    </w:p>
    <w:p>
      <w:pPr>
        <w:pStyle w:val="Heading1"/>
        <w:pageBreakBefore/>
        <w:pBdr>
          <w:bottom w:val="single" w:sz="9" w:space="5" w:color="C89C44"/>
        </w:pBdr>
      </w:pPr>
      <w:r>
        <w:rPr>
          <w:b w:val="0"/>
          <w:i w:val="0"/>
        </w:rPr>
        <w:t>Chapter 1 - Literal pain and metaphorical growth</w:t>
      </w:r>
    </w:p>
    <w:p>
      <w:pPr/>
      <w:r>
        <w:rPr>
          <w:b w:val="0"/>
          <w:i w:val="0"/>
        </w:rPr>
        <w:t>The official opening borrows a line from Britney Spears: she is "not a girl, not yet a woman." When the song was released, Spears was twenty, so she was no longer a teenager in the numerical English sense. She was still an adolescent in a broader developmental and cultural sense. That small mismatch dismantles the idea that every stage of growing up has a clean numerical edge.</w:t>
      </w:r>
    </w:p>
    <w:p>
      <w:pPr>
        <w:pStyle w:val="Heading2"/>
      </w:pPr>
      <w:r>
        <w:rPr>
          <w:b w:val="0"/>
          <w:i w:val="0"/>
        </w:rPr>
        <w:t>A brain does not switch on at twenty-five</w:t>
      </w:r>
    </w:p>
    <w:p>
      <w:pPr/>
      <w:r>
        <w:rPr>
          <w:b w:val="0"/>
          <w:i w:val="0"/>
        </w:rPr>
        <w:t xml:space="preserve">The popular claim that the frontal lobe becomes "fully developed" at twenty-five sounds useful because it gives uncertainty a deadline. The official </w:t>
      </w:r>
      <w:hyperlink r:id="rId12">
        <w:r>
          <w:rPr>
            <w:rStyle w:val="WSCLink"/>
            <w:rFonts w:ascii="Georgia" w:hAnsi="Georgia" w:eastAsia="Georgia" w:cs="Georgia"/>
            <w:color w:val="825F1F"/>
            <w:u w:val="single"/>
          </w:rPr>
          <w:t>L128 - neuroscience correction</w:t>
        </w:r>
      </w:hyperlink>
      <w:r>
        <w:rPr>
          <w:b w:val="0"/>
          <w:i w:val="0"/>
        </w:rPr>
        <w:t xml:space="preserve"> explains why the claim is too neat. Brain development does continue through adolescence and into adulthood, but there is no single scan, structure, or birthday at which an unfinished brain becomes finished. Different measures show different trajectories, individuals vary, and brains remain capable of change throughout life.</w:t>
      </w:r>
    </w:p>
    <w:p>
      <w:pPr/>
      <w:r>
        <w:rPr>
          <w:b w:val="0"/>
          <w:i w:val="0"/>
        </w:rPr>
        <w:t>The prefrontal cortex is important for planning, inhibiting impulses, weighing consequences, and coordinating information. It does not work alone, and adolescents do not simply lack it. During adolescence, neural networks become more specialized and better integrated. Neural pruning reduces some less-used connections, while myelination can make communication along other pathways faster and more reliable. This is refinement, not the construction of an entirely absent control centre.</w:t>
      </w:r>
    </w:p>
    <w:p>
      <w:pPr/>
      <w:r>
        <w:rPr>
          <w:b w:val="0"/>
          <w:i w:val="0"/>
        </w:rPr>
        <w:t>Risk-taking also needs care. Teenagers are not irrational machines waiting for a safety update. Social reward, novelty, immediate emotion, and the presence of peers can weigh heavily in a decision. Neophilia, an attraction to what is new, can produce danger, but it also supports exploration and learning. Differentiation, the process of forming an identity distinct from parents or a childhood group, requires some experiments that adults would not choose. A developmental stage that creates errors can also create adaptation.</w:t>
      </w:r>
    </w:p>
    <w:p>
      <w:pPr>
        <w:pStyle w:val="Heading2"/>
      </w:pPr>
      <w:r>
        <w:rPr>
          <w:b w:val="0"/>
          <w:i w:val="0"/>
        </w:rPr>
        <w:t>Adolescence is older than the teenager</w:t>
      </w:r>
    </w:p>
    <w:p>
      <w:pPr/>
      <w:r>
        <w:rPr>
          <w:b w:val="0"/>
          <w:i w:val="0"/>
        </w:rPr>
        <w:t xml:space="preserve">The official links make a distinction that is easy to miss. Adolescence as a period of exploration and social learning is ancient and is not confined to humans. The </w:t>
      </w:r>
      <w:hyperlink r:id="rId13">
        <w:r>
          <w:rPr>
            <w:rStyle w:val="WSCLink"/>
            <w:rFonts w:ascii="Georgia" w:hAnsi="Georgia" w:eastAsia="Georgia" w:cs="Georgia"/>
            <w:color w:val="825F1F"/>
            <w:u w:val="single"/>
          </w:rPr>
          <w:t>L130 - UCLA account of adolescence across species</w:t>
        </w:r>
      </w:hyperlink>
      <w:r>
        <w:rPr>
          <w:b w:val="0"/>
          <w:i w:val="0"/>
        </w:rPr>
        <w:t xml:space="preserve"> describes juveniles leaving familiar spaces, testing social positions, and learning the risks of their environment. Such behaviour can be costly to an individual, yet useful to a species whose young must eventually function beyond parental protection.</w:t>
      </w:r>
    </w:p>
    <w:p>
      <w:pPr/>
      <w:r>
        <w:rPr>
          <w:b w:val="0"/>
          <w:i w:val="0"/>
        </w:rPr>
        <w:t xml:space="preserve">The teenager as a named consumer and social identity is much newer. The </w:t>
      </w:r>
      <w:hyperlink r:id="rId14">
        <w:r>
          <w:rPr>
            <w:rStyle w:val="WSCLink"/>
            <w:rFonts w:ascii="Georgia" w:hAnsi="Georgia" w:eastAsia="Georgia" w:cs="Georgia"/>
            <w:color w:val="825F1F"/>
            <w:u w:val="single"/>
          </w:rPr>
          <w:t>L129 - history of teenagers</w:t>
        </w:r>
      </w:hyperlink>
      <w:r>
        <w:rPr>
          <w:b w:val="0"/>
          <w:i w:val="0"/>
        </w:rPr>
        <w:t xml:space="preserve"> and the </w:t>
      </w:r>
      <w:hyperlink r:id="rId15">
        <w:r>
          <w:rPr>
            <w:rStyle w:val="WSCLink"/>
            <w:rFonts w:ascii="Georgia" w:hAnsi="Georgia" w:eastAsia="Georgia" w:cs="Georgia"/>
            <w:color w:val="825F1F"/>
            <w:u w:val="single"/>
          </w:rPr>
          <w:t>L131 - archive account of the category's rise</w:t>
        </w:r>
      </w:hyperlink>
      <w:r>
        <w:rPr>
          <w:b w:val="0"/>
          <w:i w:val="0"/>
        </w:rPr>
        <w:t xml:space="preserve"> trace how industrialized societies made youth more visible. Longer schooling kept many young people together by age. Child labour restrictions and changing family economies altered their work. In the twentieth century, some had spending money and became a market for fashion, records, film, magazines, and later television. Adults began discussing "teenagers" as a group with recognizable tastes and problems.</w:t>
      </w:r>
    </w:p>
    <w:p>
      <w:pPr/>
      <w:r>
        <w:rPr>
          <w:b w:val="0"/>
          <w:i w:val="0"/>
        </w:rPr>
        <w:t>That history changes the Spears line. "Not yet a woman" can describe biology, legal status, financial dependence, a media role, or a private feeling. Those measures need not agree. It also changes how we use brain science. The fact that some forms of development continue into the twenties does not prove that every person under twenty-five is incapable of adult judgment. Nor does an eighteenth birthday erase vulnerability. Science describes patterns; societies decide how to assign rights and responsibilities.</w:t>
      </w:r>
    </w:p>
    <w:p>
      <w:pPr>
        <w:pStyle w:val="Heading2"/>
      </w:pPr>
      <w:r>
        <w:rPr>
          <w:b w:val="0"/>
          <w:i w:val="0"/>
        </w:rPr>
        <w:t>What counts as progress?</w:t>
      </w:r>
    </w:p>
    <w:p>
      <w:pPr/>
      <w:r>
        <w:rPr>
          <w:b w:val="0"/>
          <w:i w:val="0"/>
        </w:rPr>
        <w:t>Growing up is often narrated as a climb from weakness to competence. That model notices real gains, such as greater self-control, knowledge, strength, and independence. It can also make every youthful trait look defective. Curiosity becomes recklessness, flexibility becomes instability, and dependence becomes failure. A better model treats development as a change in the balance of abilities, needs, and risks. Adults gain authority but may lose the freedom to make low-cost mistakes. Young people need protection but also need genuine decisions through which judgment can form.</w:t>
      </w:r>
    </w:p>
    <w:p>
      <w:pPr/>
      <w:r>
        <w:rPr>
          <w:b w:val="0"/>
          <w:i w:val="0"/>
        </w:rPr>
        <w:t>Context explains why the same adolescent may look careful in one situation and reckless in another. In a calm laboratory task, a young person can reason about probability as well as many adults. In a car with friends watching, the immediate social reward may change the choice. That does not mean peers simply switch off reason. Belonging is a genuine adolescent need, and social exclusion has real costs. Effective safety policy changes the environment around the decision through graduated licences, protected practice, trustworthy adults, and alternatives to dangerous status contests. Repeating "their brains are unfinished" explains too little and can become an excuse not to design better conditions.</w:t>
      </w:r>
    </w:p>
    <w:p>
      <w:pPr/>
      <w:r>
        <w:rPr>
          <w:b w:val="0"/>
          <w:i w:val="0"/>
        </w:rPr>
        <w:t>Cross-species comparison has a limit too. A juvenile animal exploring outside a home range can help researchers identify evolutionary functions of adolescence. It cannot explain a human teenager's school law, music culture, gender expectation, or online audience. Biology creates capacities and pressures; institutions give them particular stages on which to operate. The curriculum places animal adolescence beside the history of teenagers precisely so neither explanation is mistaken for the whole.</w:t>
      </w:r>
    </w:p>
    <w:p>
      <w:pPr/>
      <w:r>
        <w:rPr>
          <w:b w:val="0"/>
          <w:i w:val="0"/>
        </w:rPr>
        <w:t xml:space="preserve">This is the first answer to </w:t>
      </w:r>
      <w:r>
        <w:rPr>
          <w:b w:val="0"/>
          <w:i/>
        </w:rPr>
        <w:t>Are We There Yet?</w:t>
      </w:r>
      <w:r>
        <w:rPr>
          <w:b w:val="0"/>
          <w:i w:val="0"/>
        </w:rPr>
        <w:t xml:space="preserve"> There is no neurological arrival board announcing adulthood. We can measure changes, but choosing one as the final threshold is a social decision. Strong WSC answers should separate evidence about development from arguments about what society ought to permit. "The brain develops gradually" is a scientific claim. "Therefore nobody under twenty-five should vote" is a political conclusion that requires much more argument.</w:t>
      </w:r>
    </w:p>
    <w:p>
      <w:pPr>
        <w:pStyle w:val="WSCSourceNote"/>
        <w:shd w:fill="F7EACC" w:val="clear"/>
        <w:pBdr>
          <w:left w:val="single" w:sz="14" w:space="6" w:color="C89C44"/>
        </w:pBdr>
      </w:pPr>
      <w:r>
        <w:rPr>
          <w:b/>
          <w:i w:val="0"/>
        </w:rPr>
        <w:t>Sources for this chapter:</w:t>
      </w:r>
      <w:r>
        <w:rPr>
          <w:b w:val="0"/>
          <w:i w:val="0"/>
        </w:rPr>
        <w:t xml:space="preserve"> The official route is </w:t>
      </w:r>
      <w:hyperlink r:id="rId12">
        <w:r>
          <w:rPr>
            <w:rStyle w:val="WSCLink"/>
            <w:rFonts w:ascii="Georgia" w:hAnsi="Georgia" w:eastAsia="Georgia" w:cs="Georgia"/>
            <w:color w:val="825F1F"/>
            <w:u w:val="single"/>
          </w:rPr>
          <w:t>L128</w:t>
        </w:r>
      </w:hyperlink>
      <w:r>
        <w:rPr>
          <w:b w:val="0"/>
          <w:i w:val="0"/>
        </w:rPr>
        <w:t xml:space="preserve">, </w:t>
      </w:r>
      <w:hyperlink r:id="rId14">
        <w:r>
          <w:rPr>
            <w:rStyle w:val="WSCLink"/>
            <w:rFonts w:ascii="Georgia" w:hAnsi="Georgia" w:eastAsia="Georgia" w:cs="Georgia"/>
            <w:color w:val="825F1F"/>
            <w:u w:val="single"/>
          </w:rPr>
          <w:t>L129</w:t>
        </w:r>
      </w:hyperlink>
      <w:r>
        <w:rPr>
          <w:b w:val="0"/>
          <w:i w:val="0"/>
        </w:rPr>
        <w:t xml:space="preserve">, </w:t>
      </w:r>
      <w:hyperlink r:id="rId13">
        <w:r>
          <w:rPr>
            <w:rStyle w:val="WSCLink"/>
            <w:rFonts w:ascii="Georgia" w:hAnsi="Georgia" w:eastAsia="Georgia" w:cs="Georgia"/>
            <w:color w:val="825F1F"/>
            <w:u w:val="single"/>
          </w:rPr>
          <w:t>L130</w:t>
        </w:r>
      </w:hyperlink>
      <w:r>
        <w:rPr>
          <w:b w:val="0"/>
          <w:i w:val="0"/>
        </w:rPr>
        <w:t xml:space="preserve">, and </w:t>
      </w:r>
      <w:hyperlink r:id="rId15">
        <w:r>
          <w:rPr>
            <w:rStyle w:val="WSCLink"/>
            <w:rFonts w:ascii="Georgia" w:hAnsi="Georgia" w:eastAsia="Georgia" w:cs="Georgia"/>
            <w:color w:val="825F1F"/>
            <w:u w:val="single"/>
          </w:rPr>
          <w:t>L131</w:t>
        </w:r>
      </w:hyperlink>
      <w:r>
        <w:rPr>
          <w:b w:val="0"/>
          <w:i w:val="0"/>
        </w:rPr>
        <w:t>. Read them together: the first prevents a biological myth, the second and fourth explain a recent social category, and the UCLA piece shows why adolescence itself is far older.</w:t>
      </w:r>
    </w:p>
    <w:p>
      <w:pPr>
        <w:pStyle w:val="Heading1"/>
        <w:pageBreakBefore/>
        <w:pBdr>
          <w:bottom w:val="single" w:sz="9" w:space="5" w:color="C89C44"/>
        </w:pBdr>
      </w:pPr>
      <w:r>
        <w:rPr>
          <w:b w:val="0"/>
          <w:i w:val="0"/>
        </w:rPr>
        <w:t>Chapter 2 - Adolescence as unstable status</w:t>
      </w:r>
    </w:p>
    <w:p>
      <w:pPr/>
      <w:r>
        <w:rPr>
          <w:b w:val="0"/>
          <w:i w:val="0"/>
        </w:rPr>
        <w:t>A threshold becomes easier to believe when it has a name and a ceremony. Societies have invented many of both. Yet names divide time differently, and ceremonies can declare a transformation that the person does not feel. This chapter studies the tools communities use to make a gradual process publicly legible.</w:t>
      </w:r>
    </w:p>
    <w:p>
      <w:pPr>
        <w:pStyle w:val="Heading2"/>
      </w:pPr>
      <w:r>
        <w:rPr>
          <w:b w:val="0"/>
          <w:i w:val="0"/>
        </w:rPr>
        <w:t>Adolescent and teenager are not synonyms</w:t>
      </w:r>
    </w:p>
    <w:p>
      <w:pPr/>
      <w:r>
        <w:rPr>
          <w:b w:val="0"/>
          <w:i/>
        </w:rPr>
        <w:t>Adolescent</w:t>
      </w:r>
      <w:r>
        <w:rPr>
          <w:b w:val="0"/>
          <w:i w:val="0"/>
        </w:rPr>
        <w:t xml:space="preserve"> comes from a Latin root connected with growing toward maturity. It describes a process. </w:t>
      </w:r>
      <w:r>
        <w:rPr>
          <w:b w:val="0"/>
          <w:i/>
        </w:rPr>
        <w:t>Teenager</w:t>
      </w:r>
      <w:r>
        <w:rPr>
          <w:b w:val="0"/>
          <w:i w:val="0"/>
        </w:rPr>
        <w:t xml:space="preserve"> depends on the English names for the numbers from thirteen through nineteen. It describes an age band created by a linguistic pattern. An eighteen-year-old fits both words. A twelve-year-old in puberty may be an adolescent but is not an English-language teenager. A twenty-year-old may still be discussed as adolescent in some psychological contexts but has left the teen numbers.</w:t>
      </w:r>
    </w:p>
    <w:p>
      <w:pPr/>
      <w:r>
        <w:rPr>
          <w:b w:val="0"/>
          <w:i w:val="0"/>
        </w:rPr>
        <w:t xml:space="preserve">Other languages reveal how accidental the numerical category is. Spanish has </w:t>
      </w:r>
      <w:r>
        <w:rPr>
          <w:b w:val="0"/>
          <w:i/>
        </w:rPr>
        <w:t>adolescente</w:t>
      </w:r>
      <w:r>
        <w:rPr>
          <w:b w:val="0"/>
          <w:i w:val="0"/>
        </w:rPr>
        <w:t xml:space="preserve">, while its compound pattern with </w:t>
      </w:r>
      <w:r>
        <w:rPr>
          <w:b w:val="0"/>
          <w:i/>
        </w:rPr>
        <w:t>diez</w:t>
      </w:r>
      <w:r>
        <w:rPr>
          <w:b w:val="0"/>
          <w:i w:val="0"/>
        </w:rPr>
        <w:t xml:space="preserve"> becomes obvious at sixteen. That does not cause Spanish-speaking societies to withhold teenage identity until sixteen. Japanese speakers can refer to the ten-numbered age range with </w:t>
      </w:r>
      <w:r>
        <w:rPr>
          <w:b w:val="0"/>
          <w:i/>
        </w:rPr>
        <w:t>judai</w:t>
      </w:r>
      <w:r>
        <w:rPr>
          <w:b w:val="0"/>
          <w:i w:val="0"/>
        </w:rPr>
        <w:t xml:space="preserve">, but words associated with puberty, youth, or the "springtime" of life carry different emotional meanings. French </w:t>
      </w:r>
      <w:r>
        <w:rPr>
          <w:b w:val="0"/>
          <w:i/>
        </w:rPr>
        <w:t>ado</w:t>
      </w:r>
      <w:r>
        <w:rPr>
          <w:b w:val="0"/>
          <w:i w:val="0"/>
        </w:rPr>
        <w:t xml:space="preserve"> shortens </w:t>
      </w:r>
      <w:r>
        <w:rPr>
          <w:b w:val="0"/>
          <w:i/>
        </w:rPr>
        <w:t>adolescent</w:t>
      </w:r>
      <w:r>
        <w:rPr>
          <w:b w:val="0"/>
          <w:i w:val="0"/>
        </w:rPr>
        <w:t xml:space="preserve"> into a familiar social label. Mandarin Chinese and Arabic have terms for youth and developmental stages that do not reproduce the exact English suffix.</w:t>
      </w:r>
    </w:p>
    <w:p>
      <w:pPr/>
      <w:r>
        <w:rPr>
          <w:b w:val="0"/>
          <w:i w:val="0"/>
        </w:rPr>
        <w:t>Language does not imprison a culture, but it offers ready-made boxes. An English headline about "teens" can group a thirteen-year-old middle-school student with a nineteen-year-old worker or parent. A policy may use another line entirely: criminal responsibility, medical consent, marriage, driving, alcohol purchase, voting, and military service can each begin at a different age. Asking "When are you an adult?" is therefore incomplete. Adult for what purpose, under whose rules, and with what consequences?</w:t>
      </w:r>
    </w:p>
    <w:p>
      <w:pPr>
        <w:pStyle w:val="Heading2"/>
      </w:pPr>
      <w:r>
        <w:rPr>
          <w:b w:val="0"/>
          <w:i w:val="0"/>
        </w:rPr>
        <w:t>Rites of passage turn change into an event</w:t>
      </w:r>
    </w:p>
    <w:p>
      <w:pPr/>
      <w:r>
        <w:rPr>
          <w:b w:val="0"/>
          <w:i w:val="0"/>
        </w:rPr>
        <w:t>Biological and legal transitions are spread across years. A rite of passage compresses them into a moment that a community can witness. A quinceanera, sweet sixteen, debut, Guan Li, Seijin no Hi, bar or bat mitzvah, Khatam al-Quran, and a carefully defined community initiation do not all mean the same thing. Some emphasize religious obligation, some family and social presentation, some civic membership, and some education. Grouping them as colourful versions of "becoming an adult" would erase what each community believes is changing.</w:t>
      </w:r>
    </w:p>
    <w:p>
      <w:pPr/>
      <w:r>
        <w:rPr>
          <w:b w:val="0"/>
          <w:i w:val="0"/>
        </w:rPr>
        <w:t>A quinceanera celebrates a girl's fifteenth birthday in many Latin American communities, often through family, religious, and social rituals. Japan's Coming of Age Day is a civic observance associated with legal adulthood and local community recognition. A bar or bat mitzvah marks becoming responsible for Jewish religious obligations, not instant emotional or financial independence. Guan Li historically marked a young Chinese man's coming of age through the capping ceremony, within particular social and historical settings. Khatam al-Quran can celebrate completion of reading or memorizing the Quran, making achievement and faith central to the transition.</w:t>
      </w:r>
    </w:p>
    <w:p>
      <w:pPr/>
      <w:r>
        <w:rPr>
          <w:b w:val="0"/>
          <w:i w:val="0"/>
        </w:rPr>
        <w:t>Terms such as "vision quest" and "walkabout" require special caution. They refer to diverse Indigenous traditions that outsiders have often simplified, generalized, or marketed. A respectful answer identifies the particular people and source rather than treating an entire continent's practices as one adventurous test. The same rule applies to every ceremony: learn what the participants call it, who may take part, what responsibilities follow, and whether the modern form has changed.</w:t>
      </w:r>
    </w:p>
    <w:p>
      <w:pPr>
        <w:pStyle w:val="Heading2"/>
      </w:pPr>
      <w:r>
        <w:rPr>
          <w:b w:val="0"/>
          <w:i w:val="0"/>
        </w:rPr>
        <w:t>Secular rites can be just as powerful</w:t>
      </w:r>
    </w:p>
    <w:p>
      <w:pPr/>
      <w:r>
        <w:rPr>
          <w:b w:val="0"/>
          <w:i w:val="0"/>
        </w:rPr>
        <w:t>High school graduation, a driver's licence, a first paycheck, national service, voting, and moving out may lack religious language, but they also redistribute status. Graduation recognizes completion of an institution's requirements. A licence grants legal permission and creates responsibility for other road users. A first paycheck can alter a person's relationship with family and consumption. Voting gives a formal role in collective decisions. Moving out changes daily dependence even when parents continue to provide money.</w:t>
      </w:r>
    </w:p>
    <w:p>
      <w:pPr/>
      <w:r>
        <w:rPr>
          <w:b w:val="0"/>
          <w:i w:val="0"/>
        </w:rPr>
        <w:t>These transitions reveal why no single ceremony settles adulthood. A student may graduate before voting age. A voter may live with parents because housing is expensive. A conscript may be trusted with weapons but not allowed to buy alcohol. A young adult can manage full-time work while lacking legal power over a family medical decision. The milestones are real, but each answers a different question.</w:t>
      </w:r>
    </w:p>
    <w:p>
      <w:pPr/>
      <w:r>
        <w:rPr>
          <w:b w:val="0"/>
          <w:i w:val="0"/>
        </w:rPr>
        <w:t>Rites also do social work for the people watching. Families can express pride, anxiety, memory, and hope. Communities announce continuity: a younger member is entering a role others have occupied. Clothing, speeches, gifts, dances, certificates, and photographs make the invisible change visible. That visibility can support a young person. It can also create pressure to perform certainty, gender, faith, or family loyalty in a prescribed way.</w:t>
      </w:r>
    </w:p>
    <w:p>
      <w:pPr/>
      <w:r>
        <w:rPr>
          <w:b w:val="0"/>
          <w:i w:val="0"/>
        </w:rPr>
        <w:t>The useful WSC comparison is therefore not "cultural ceremony versus ordinary event." It is recognition versus experience. A public ritual can change how others treat someone even if the participant feels the same the next morning. An unmarked event, such as caring for a sick relative, can make someone feel adult without any certificate. In the language of the theme, societies say "you are there" because they need workable thresholds. The traveller may still feel in motion.</w:t>
      </w:r>
    </w:p>
    <w:p>
      <w:pPr>
        <w:pStyle w:val="WSCSourceNote"/>
        <w:shd w:fill="F7EACC" w:val="clear"/>
        <w:pBdr>
          <w:left w:val="single" w:sz="14" w:space="6" w:color="C89C44"/>
        </w:pBdr>
      </w:pPr>
      <w:r>
        <w:rPr>
          <w:b/>
          <w:i w:val="0"/>
        </w:rPr>
        <w:t>Sources for this chapter:</w:t>
      </w:r>
      <w:r>
        <w:rPr>
          <w:b w:val="0"/>
          <w:i w:val="0"/>
        </w:rPr>
        <w:t xml:space="preserve"> This branch has no direct official hyperlink, so its evidence must come from the curriculum's own named terms and careful reference work. Useful starting points include Britannica's overview of adolescence and official cultural or religious institutions for each rite. Avoid using a generic tourism page to define an Indigenous practice. The essential source discipline is to distinguish what a rite formally recognizes from the much larger claim that it produces complete adulthood.</w:t>
      </w:r>
    </w:p>
    <w:p>
      <w:pPr>
        <w:pStyle w:val="Heading1"/>
        <w:pageBreakBefore/>
        <w:pBdr>
          <w:bottom w:val="single" w:sz="9" w:space="5" w:color="C89C44"/>
        </w:pBdr>
      </w:pPr>
      <w:r>
        <w:rPr>
          <w:b w:val="0"/>
          <w:i w:val="0"/>
        </w:rPr>
        <w:t>Chapter 3 - Leaving home and separation</w:t>
      </w:r>
    </w:p>
    <w:p>
      <w:pPr/>
      <w:r>
        <w:rPr>
          <w:b w:val="0"/>
          <w:i w:val="0"/>
        </w:rPr>
        <w:t>The section next moves from definitions to art. Seven works place young people at moments when home, school, inherited culture, fantasy, and self-invention stop fitting neatly together. They do not form a single theory of adolescence. Each gives a different emotional shape to separation.</w:t>
      </w:r>
    </w:p>
    <w:p>
      <w:pPr>
        <w:pStyle w:val="Heading2"/>
      </w:pPr>
      <w:r>
        <w:rPr>
          <w:b w:val="0"/>
          <w:i w:val="0"/>
        </w:rPr>
        <w:t>Coolness as an early exit</w:t>
      </w:r>
    </w:p>
    <w:p>
      <w:pPr/>
      <w:r>
        <w:rPr>
          <w:b w:val="0"/>
          <w:i w:val="0"/>
        </w:rPr>
        <w:t xml:space="preserve">Gwendolyn Brooks's </w:t>
      </w:r>
      <w:hyperlink r:id="rId16">
        <w:r>
          <w:rPr>
            <w:rStyle w:val="WSCLink"/>
            <w:rFonts w:ascii="Georgia" w:hAnsi="Georgia" w:eastAsia="Georgia" w:cs="Georgia"/>
            <w:color w:val="825F1F"/>
            <w:u w:val="single"/>
          </w:rPr>
          <w:t>L132 - "We Real Cool"</w:t>
        </w:r>
      </w:hyperlink>
      <w:r>
        <w:rPr>
          <w:b w:val="0"/>
          <w:i w:val="0"/>
        </w:rPr>
        <w:t xml:space="preserve"> presents seven pool players who have left school. The poem is extraordinarily short, but its repeated "We" makes the group sound both proud and fragile. Their actions create an identity through refusal: leaving school, staying out late, rejecting expected discipline. The final statement, that they "die soon," changes the rhythm from swagger to danger. It does not prove that every rebellious teenager is doomed. It asks what can hide inside a performance of control.</w:t>
      </w:r>
    </w:p>
    <w:p>
      <w:pPr/>
      <w:r>
        <w:rPr>
          <w:b w:val="0"/>
          <w:i w:val="0"/>
        </w:rPr>
        <w:t xml:space="preserve">Virginia Driving Hawk Sneve's </w:t>
      </w:r>
      <w:hyperlink r:id="rId17">
        <w:r>
          <w:rPr>
            <w:rStyle w:val="WSCLink"/>
            <w:rFonts w:ascii="Georgia" w:hAnsi="Georgia" w:eastAsia="Georgia" w:cs="Georgia"/>
            <w:color w:val="825F1F"/>
            <w:u w:val="single"/>
          </w:rPr>
          <w:t>L133 - "The Medicine Bag"</w:t>
        </w:r>
      </w:hyperlink>
      <w:r>
        <w:rPr>
          <w:b w:val="0"/>
          <w:i w:val="0"/>
        </w:rPr>
        <w:t xml:space="preserve"> stages a different conflict. Martin feels embarrassed when his Lakota grandfather arrives in his suburban world. Family heritage seems less impressive in person than in the stories he has told his friends. Receiving the medicine bag forces him to confront responsibility, mortality, and the difference between displaying identity and accepting it. He moves toward maturity by allowing inherited meaning to become personally demanding.</w:t>
      </w:r>
    </w:p>
    <w:p>
      <w:pPr>
        <w:pStyle w:val="Heading2"/>
      </w:pPr>
      <w:r>
        <w:rPr>
          <w:b w:val="0"/>
          <w:i w:val="0"/>
        </w:rPr>
        <w:t>The classroom cannot stay sealed</w:t>
      </w:r>
    </w:p>
    <w:p>
      <w:pPr/>
      <w:r>
        <w:rPr>
          <w:b w:val="0"/>
          <w:i w:val="0"/>
        </w:rPr>
        <w:t xml:space="preserve">Carol Ann Duffy's </w:t>
      </w:r>
      <w:hyperlink r:id="rId18">
        <w:r>
          <w:rPr>
            <w:rStyle w:val="WSCLink"/>
            <w:rFonts w:ascii="Georgia" w:hAnsi="Georgia" w:eastAsia="Georgia" w:cs="Georgia"/>
            <w:color w:val="825F1F"/>
            <w:u w:val="single"/>
          </w:rPr>
          <w:t>L134 - "In Mrs Tilscher's Class"</w:t>
        </w:r>
      </w:hyperlink>
      <w:r>
        <w:rPr>
          <w:b w:val="0"/>
          <w:i w:val="0"/>
        </w:rPr>
        <w:t xml:space="preserve"> begins in a bright primary classroom where maps, sweets, chalk, and the teacher's voice make knowledge feel safe and sensuous. Outside danger remains faint. By the end, weather, sexuality, and the children's questions press against the room. The poem does not condemn education. It shows that a protected world cannot remain complete once the body and imagination begin to change.</w:t>
      </w:r>
    </w:p>
    <w:p>
      <w:pPr/>
      <w:r>
        <w:rPr>
          <w:b w:val="0"/>
          <w:i w:val="0"/>
        </w:rPr>
        <w:t xml:space="preserve">In Joss Whedon's </w:t>
      </w:r>
      <w:hyperlink r:id="rId19">
        <w:r>
          <w:rPr>
            <w:rStyle w:val="WSCLink"/>
            <w:rFonts w:ascii="Georgia" w:hAnsi="Georgia" w:eastAsia="Georgia" w:cs="Georgia"/>
            <w:color w:val="825F1F"/>
            <w:u w:val="single"/>
          </w:rPr>
          <w:t>L135 - "Where Do We Go From Here?"</w:t>
        </w:r>
      </w:hyperlink>
      <w:r>
        <w:rPr>
          <w:b w:val="0"/>
          <w:i w:val="0"/>
        </w:rPr>
        <w:t xml:space="preserve"> from </w:t>
      </w:r>
      <w:r>
        <w:rPr>
          <w:b w:val="0"/>
          <w:i/>
        </w:rPr>
        <w:t>Buffy the Vampire Slayer</w:t>
      </w:r>
      <w:r>
        <w:rPr>
          <w:b w:val="0"/>
          <w:i w:val="0"/>
        </w:rPr>
        <w:t>, the characters have survived a crisis but cannot return to the old arrangement. The ensemble asks for direction while relationships pull apart. That uncertainty matters more than the supernatural setting. A transition can end one danger without supplying a new shared route.</w:t>
      </w:r>
    </w:p>
    <w:p>
      <w:pPr>
        <w:pStyle w:val="Heading2"/>
      </w:pPr>
      <w:r>
        <w:rPr>
          <w:b w:val="0"/>
          <w:i w:val="0"/>
        </w:rPr>
        <w:t>Adaptation can look like betrayal</w:t>
      </w:r>
    </w:p>
    <w:p>
      <w:pPr/>
      <w:r>
        <w:rPr>
          <w:b w:val="0"/>
          <w:i w:val="0"/>
        </w:rPr>
        <w:t xml:space="preserve">Karen Russell's </w:t>
      </w:r>
      <w:hyperlink r:id="rId20">
        <w:r>
          <w:rPr>
            <w:rStyle w:val="WSCLink"/>
            <w:rFonts w:ascii="Georgia" w:hAnsi="Georgia" w:eastAsia="Georgia" w:cs="Georgia"/>
            <w:color w:val="825F1F"/>
            <w:u w:val="single"/>
          </w:rPr>
          <w:t>L136 - "St. Lucy's Home for Girls Raised by Wolves"</w:t>
        </w:r>
      </w:hyperlink>
      <w:r>
        <w:rPr>
          <w:b w:val="0"/>
          <w:i w:val="0"/>
        </w:rPr>
        <w:t xml:space="preserve"> turns assimilation into a strange school story. Girls raised by werewolves are taught the rules of human society. Progress is measured through stages, pronunciation, posture, and the suppression of habits that once connected them to family. One sister adapts more successfully, while another cannot or will not. The story makes the cost of "arrival" visible. Becoming legible to the new institution can mean becoming foreign to home.</w:t>
      </w:r>
    </w:p>
    <w:p>
      <w:pPr/>
      <w:r>
        <w:rPr>
          <w:b w:val="0"/>
          <w:i w:val="0"/>
        </w:rPr>
        <w:t xml:space="preserve">Ruth B.'s </w:t>
      </w:r>
      <w:hyperlink r:id="rId21">
        <w:r>
          <w:rPr>
            <w:rStyle w:val="WSCLink"/>
            <w:rFonts w:ascii="Georgia" w:hAnsi="Georgia" w:eastAsia="Georgia" w:cs="Georgia"/>
            <w:color w:val="825F1F"/>
            <w:u w:val="single"/>
          </w:rPr>
          <w:t>L137 - "Lost Boy"</w:t>
        </w:r>
      </w:hyperlink>
      <w:r>
        <w:rPr>
          <w:b w:val="0"/>
          <w:i w:val="0"/>
        </w:rPr>
        <w:t xml:space="preserve"> moves in the opposite direction. Peter Pan and Neverland become images of escape into a chosen belonging. The lost child is lonely until fantasy offers companions and a home outside ordinary time. Yet Neverland's promise is also a refusal to grow up. The song captures why delay can feel protective when adulthood looks less welcoming than the in-between.</w:t>
      </w:r>
    </w:p>
    <w:p>
      <w:pPr/>
      <w:r>
        <w:rPr>
          <w:b w:val="0"/>
          <w:i w:val="0"/>
        </w:rPr>
        <w:t xml:space="preserve">Major Jackson's </w:t>
      </w:r>
      <w:hyperlink r:id="rId22">
        <w:r>
          <w:rPr>
            <w:rStyle w:val="WSCLink"/>
            <w:rFonts w:ascii="Georgia" w:hAnsi="Georgia" w:eastAsia="Georgia" w:cs="Georgia"/>
            <w:color w:val="825F1F"/>
            <w:u w:val="single"/>
          </w:rPr>
          <w:t>L138 - "Let Me Begin Again"</w:t>
        </w:r>
      </w:hyperlink>
      <w:r>
        <w:rPr>
          <w:b w:val="0"/>
          <w:i w:val="0"/>
        </w:rPr>
        <w:t xml:space="preserve"> rejects the idea that beginning belongs only to youth. The speaker wants to shed vanity, confront fear, and re-enter life with attention. Repetition in the title makes renewal sound deliberate rather than innocent. To begin again is not to recover a blank childhood. It is to use what one knows without remaining trapped by it.</w:t>
      </w:r>
    </w:p>
    <w:p>
      <w:pPr>
        <w:pStyle w:val="Heading2"/>
      </w:pPr>
      <w:r>
        <w:rPr>
          <w:b w:val="0"/>
          <w:i w:val="0"/>
        </w:rPr>
        <w:t>Seven different distances from home</w:t>
      </w:r>
    </w:p>
    <w:p>
      <w:pPr/>
      <w:r>
        <w:rPr>
          <w:b w:val="0"/>
          <w:i w:val="0"/>
        </w:rPr>
        <w:t>These works can be arranged by the kind of separation they stage. Brooks's players leave an institution and build a group identity. Martin must bring a family inheritance into a social world where he had hidden it. Duffy's children feel the protected classroom opening onto bodily and social knowledge. Buffy's group has defeated a threat but lost a shared future. Russell's girls are trained away from their first culture. Ruth B.'s speaker chooses an imagined refuge from loneliness. Jackson's speaker seeks distance from an earlier self.</w:t>
      </w:r>
    </w:p>
    <w:p>
      <w:pPr/>
      <w:r>
        <w:rPr>
          <w:b w:val="0"/>
          <w:i w:val="0"/>
        </w:rPr>
        <w:t>Their forms make those distances felt. Brooks breaks ordinary sentences across tiny lines, so the repeated group pronoun hangs after each boast. Readers hear unity and the possibility that the group is all each player has. Sneve uses a first-person narrator whose embarrassment changes gradually; because Martin tells the story, readers must notice the gap between his public performance and what he is beginning to understand. Duffy's poem moves from sweet colours and classroom rhythm toward heat, thunder, and unanswered questions. The shift in sensory language lets childhood dissolve before any character officially announces it.</w:t>
      </w:r>
    </w:p>
    <w:p>
      <w:pPr/>
      <w:r>
        <w:rPr>
          <w:b w:val="0"/>
          <w:i w:val="0"/>
        </w:rPr>
        <w:t xml:space="preserve">The song from </w:t>
      </w:r>
      <w:r>
        <w:rPr>
          <w:b w:val="0"/>
          <w:i/>
        </w:rPr>
        <w:t>Buffy</w:t>
      </w:r>
      <w:r>
        <w:rPr>
          <w:b w:val="0"/>
          <w:i w:val="0"/>
        </w:rPr>
        <w:t xml:space="preserve"> distributes uncertainty across an ensemble. No single character owns the answer, which makes "where do we go" a group problem after a shared crisis. Russell borrows the language of an institutional progress report, making violent cultural adjustment sound orderly and measurable. Ruth B. uses the familiar Peter Pan story as a ready-made refuge, while Jackson's repeated request to begin again sounds less like escape than revision. Genre is part of the argument: report, lyric, story, and ensemble song each decide who gets to describe progress.</w:t>
      </w:r>
    </w:p>
    <w:p>
      <w:pPr/>
      <w:r>
        <w:rPr>
          <w:b w:val="0"/>
          <w:i w:val="0"/>
        </w:rPr>
        <w:t>None says that separation is automatically progress. Leaving can produce freedom, shame, danger, cultural loss, reinvention, or several at once. This guards against a common error in the theme. A journey away from childhood is not valuable merely because it moves forward in time. We have to ask who selected the destination and what the traveller must abandon to be admitted.</w:t>
      </w:r>
    </w:p>
    <w:p>
      <w:pPr>
        <w:pStyle w:val="WSCSourceNote"/>
        <w:shd w:fill="F7EACC" w:val="clear"/>
        <w:pBdr>
          <w:left w:val="single" w:sz="14" w:space="6" w:color="C89C44"/>
        </w:pBdr>
      </w:pPr>
      <w:r>
        <w:rPr>
          <w:b/>
          <w:i w:val="0"/>
        </w:rPr>
        <w:t>Sources for this chapter:</w:t>
      </w:r>
      <w:r>
        <w:rPr>
          <w:b w:val="0"/>
          <w:i w:val="0"/>
        </w:rPr>
        <w:t xml:space="preserve"> Every linked work is official curriculum content: </w:t>
      </w:r>
      <w:hyperlink r:id="rId16">
        <w:r>
          <w:rPr>
            <w:rStyle w:val="WSCLink"/>
            <w:rFonts w:ascii="Georgia" w:hAnsi="Georgia" w:eastAsia="Georgia" w:cs="Georgia"/>
            <w:color w:val="825F1F"/>
            <w:u w:val="single"/>
          </w:rPr>
          <w:t>L132</w:t>
        </w:r>
      </w:hyperlink>
      <w:r>
        <w:rPr>
          <w:b w:val="0"/>
          <w:i w:val="0"/>
        </w:rPr>
        <w:t xml:space="preserve">, </w:t>
      </w:r>
      <w:hyperlink r:id="rId17">
        <w:r>
          <w:rPr>
            <w:rStyle w:val="WSCLink"/>
            <w:rFonts w:ascii="Georgia" w:hAnsi="Georgia" w:eastAsia="Georgia" w:cs="Georgia"/>
            <w:color w:val="825F1F"/>
            <w:u w:val="single"/>
          </w:rPr>
          <w:t>L133</w:t>
        </w:r>
      </w:hyperlink>
      <w:r>
        <w:rPr>
          <w:b w:val="0"/>
          <w:i w:val="0"/>
        </w:rPr>
        <w:t xml:space="preserve">, </w:t>
      </w:r>
      <w:hyperlink r:id="rId18">
        <w:r>
          <w:rPr>
            <w:rStyle w:val="WSCLink"/>
            <w:rFonts w:ascii="Georgia" w:hAnsi="Georgia" w:eastAsia="Georgia" w:cs="Georgia"/>
            <w:color w:val="825F1F"/>
            <w:u w:val="single"/>
          </w:rPr>
          <w:t>L134</w:t>
        </w:r>
      </w:hyperlink>
      <w:r>
        <w:rPr>
          <w:b w:val="0"/>
          <w:i w:val="0"/>
        </w:rPr>
        <w:t xml:space="preserve">, </w:t>
      </w:r>
      <w:hyperlink r:id="rId19">
        <w:r>
          <w:rPr>
            <w:rStyle w:val="WSCLink"/>
            <w:rFonts w:ascii="Georgia" w:hAnsi="Georgia" w:eastAsia="Georgia" w:cs="Georgia"/>
            <w:color w:val="825F1F"/>
            <w:u w:val="single"/>
          </w:rPr>
          <w:t>L135</w:t>
        </w:r>
      </w:hyperlink>
      <w:r>
        <w:rPr>
          <w:b w:val="0"/>
          <w:i w:val="0"/>
        </w:rPr>
        <w:t xml:space="preserve">, </w:t>
      </w:r>
      <w:hyperlink r:id="rId20">
        <w:r>
          <w:rPr>
            <w:rStyle w:val="WSCLink"/>
            <w:rFonts w:ascii="Georgia" w:hAnsi="Georgia" w:eastAsia="Georgia" w:cs="Georgia"/>
            <w:color w:val="825F1F"/>
            <w:u w:val="single"/>
          </w:rPr>
          <w:t>L136</w:t>
        </w:r>
      </w:hyperlink>
      <w:r>
        <w:rPr>
          <w:b w:val="0"/>
          <w:i w:val="0"/>
        </w:rPr>
        <w:t xml:space="preserve">, </w:t>
      </w:r>
      <w:hyperlink r:id="rId21">
        <w:r>
          <w:rPr>
            <w:rStyle w:val="WSCLink"/>
            <w:rFonts w:ascii="Georgia" w:hAnsi="Georgia" w:eastAsia="Georgia" w:cs="Georgia"/>
            <w:color w:val="825F1F"/>
            <w:u w:val="single"/>
          </w:rPr>
          <w:t>L137</w:t>
        </w:r>
      </w:hyperlink>
      <w:r>
        <w:rPr>
          <w:b w:val="0"/>
          <w:i w:val="0"/>
        </w:rPr>
        <w:t xml:space="preserve">, and </w:t>
      </w:r>
      <w:hyperlink r:id="rId22">
        <w:r>
          <w:rPr>
            <w:rStyle w:val="WSCLink"/>
            <w:rFonts w:ascii="Georgia" w:hAnsi="Georgia" w:eastAsia="Georgia" w:cs="Georgia"/>
            <w:color w:val="825F1F"/>
            <w:u w:val="single"/>
          </w:rPr>
          <w:t>L138</w:t>
        </w:r>
      </w:hyperlink>
      <w:r>
        <w:rPr>
          <w:b w:val="0"/>
          <w:i w:val="0"/>
        </w:rPr>
        <w:t>. Read for speaker, setting, turning point, and cost. A plot summary alone misses how form makes the threshold feel.</w:t>
      </w:r>
    </w:p>
    <w:p>
      <w:pPr>
        <w:pStyle w:val="Heading1"/>
        <w:pageBreakBefore/>
        <w:pBdr>
          <w:bottom w:val="single" w:sz="9" w:space="5" w:color="C89C44"/>
        </w:pBdr>
      </w:pPr>
      <w:r>
        <w:rPr>
          <w:b w:val="0"/>
          <w:i w:val="0"/>
        </w:rPr>
        <w:t>Chapter 4 - Migration, adaptation, and cost</w:t>
      </w:r>
    </w:p>
    <w:p>
      <w:pPr/>
      <w:r>
        <w:rPr>
          <w:b w:val="0"/>
          <w:i w:val="0"/>
        </w:rPr>
        <w:t>Adolescence is often described as a private journey inside one person. The official works show why that is too narrow. Growing up may require movement between cultures, languages, generations, institutions, or forms of belonging. The traveller does not choose every route, and the destination can demand proof that the old home has been left behind.</w:t>
      </w:r>
    </w:p>
    <w:p>
      <w:pPr>
        <w:pStyle w:val="Heading2"/>
      </w:pPr>
      <w:r>
        <w:rPr>
          <w:b w:val="0"/>
          <w:i w:val="0"/>
        </w:rPr>
        <w:t>Assimilation is a curriculum</w:t>
      </w:r>
    </w:p>
    <w:p>
      <w:pPr/>
      <w:r>
        <w:rPr>
          <w:b w:val="0"/>
          <w:i/>
        </w:rPr>
        <w:t>St. Lucy's Home for Girls Raised by Wolves</w:t>
      </w:r>
      <w:r>
        <w:rPr>
          <w:b w:val="0"/>
          <w:i w:val="0"/>
        </w:rPr>
        <w:t xml:space="preserve"> is the clearest model. The school defines normality, divides adaptation into stages, and evaluates each girl's performance. That structure resembles many real systems of assimilation. A school or state can treat language, clothing, accent, religion, family practice, and bodily habit as evidence that someone has or has not "arrived." The standards are presented as neutral competence even when they embody the preferences of the more powerful group.</w:t>
      </w:r>
    </w:p>
    <w:p>
      <w:pPr/>
      <w:r>
        <w:rPr>
          <w:b w:val="0"/>
          <w:i w:val="0"/>
        </w:rPr>
        <w:t>The story's wolf-raised children make the mechanism visible by exaggerating the gap. Readers easily see that learning to dance or speak in approved ways involves more than acquiring a skill. The girls must interpret their previous selves as embarrassing. Successful adaptation is rewarded with recognition. Failure becomes an individual defect, even though the institution selected the destination and pace.</w:t>
      </w:r>
    </w:p>
    <w:p>
      <w:pPr/>
      <w:r>
        <w:rPr>
          <w:b w:val="0"/>
          <w:i/>
        </w:rPr>
        <w:t>The Medicine Bag</w:t>
      </w:r>
      <w:r>
        <w:rPr>
          <w:b w:val="0"/>
          <w:i w:val="0"/>
        </w:rPr>
        <w:t xml:space="preserve"> complicates the same pressure from inside a family. Martin has learned that a simplified Indigenous identity can earn attention among his peers, while the presence of his actual grandfather creates embarrassment. His problem is not that he possesses no connection to heritage. It is that he has tried to control the connection as a story. The medicine bag cannot remain an attractive symbol once it carries obligation and grief.</w:t>
      </w:r>
    </w:p>
    <w:p>
      <w:pPr>
        <w:pStyle w:val="Heading2"/>
      </w:pPr>
      <w:r>
        <w:rPr>
          <w:b w:val="0"/>
          <w:i w:val="0"/>
        </w:rPr>
        <w:t>Leaving home can be necessary without being clean</w:t>
      </w:r>
    </w:p>
    <w:p>
      <w:pPr/>
      <w:r>
        <w:rPr>
          <w:b w:val="0"/>
          <w:i w:val="0"/>
        </w:rPr>
        <w:t>Rites such as graduation, national service, and moving out often connect adulthood with departure. In many places, however, housing costs, extended-family patterns, education, disability, and caregiving make independent residence a poor universal measure. Someone can leave home and remain financially dependent. Another person can stay and take on adult responsibility for the household. Treating one route as normal turns economic privilege into an apparent sign of maturity.</w:t>
      </w:r>
    </w:p>
    <w:p>
      <w:pPr/>
      <w:r>
        <w:rPr>
          <w:b w:val="0"/>
          <w:i w:val="0"/>
        </w:rPr>
        <w:t>Migration sharpens the problem. A young person may translate for parents, navigate a new school system, or take paid work early, becoming adult-like in some responsibilities while still treated as culturally inexperienced. Another may be expected to preserve family tradition precisely because life outside the home is changing quickly. "Growing up" then pulls in two directions: gain the abilities needed in the new setting, and do not lose what gives the family continuity.</w:t>
      </w:r>
    </w:p>
    <w:p>
      <w:pPr>
        <w:pStyle w:val="Heading2"/>
      </w:pPr>
      <w:r>
        <w:rPr>
          <w:b w:val="0"/>
          <w:i w:val="0"/>
        </w:rPr>
        <w:t>The cost of being understood</w:t>
      </w:r>
    </w:p>
    <w:p>
      <w:pPr/>
      <w:r>
        <w:rPr>
          <w:b w:val="0"/>
          <w:i w:val="0"/>
        </w:rPr>
        <w:t>Differentiation is often taught as the healthy formation of a separate identity. It is not the same as rejecting community. A person needs enough psychological and practical space to make choices, but identities are made through relationships. The demand to become wholly independent can conceal the work that families and communities continue to provide.</w:t>
      </w:r>
    </w:p>
    <w:p>
      <w:pPr/>
      <w:r>
        <w:rPr>
          <w:b w:val="0"/>
          <w:i w:val="0"/>
        </w:rPr>
        <w:t>Language reveals this tension. An adolescent may become fluent in a school language faster than older relatives and gain authority in public situations. At home, the same person may lack the vocabulary for family history, religious practice, or emotion. Progress in one language can coexist with loss in another. Accent can become a test of belonging in both directions. The destination "native-like" may promise acceptance while making the origin sound like a flaw.</w:t>
      </w:r>
    </w:p>
    <w:p>
      <w:pPr/>
      <w:r>
        <w:rPr>
          <w:b w:val="0"/>
          <w:i w:val="0"/>
        </w:rPr>
        <w:t>Code-switching can be competence rather than confusion. A young person may use one register with grandparents, another at school, and another with friends. The ability to move among them expands range. Trouble begins when an institution treats only one as intelligent or professional, forcing the speaker to hide part of their history for basic recognition. Russell's school makes that coercion visible; Martin's suburb creates a quieter version through embarrassment rather than an explicit rule.</w:t>
      </w:r>
    </w:p>
    <w:p>
      <w:pPr/>
      <w:r>
        <w:rPr>
          <w:b w:val="0"/>
          <w:i w:val="0"/>
        </w:rPr>
        <w:t>Art helps because it can hold incompatible feelings together. Brooks's pool players sound confident and endangered. Martin is ashamed and loving. Russell's adaptable students gain skill and lose intimacy. Ruth B.'s fantasy home offers belonging by suspending development. Jackson's new beginning requires burning vanities but not erasing memory. A survey question asking whether the transition was good or bad would flatten each work.</w:t>
      </w:r>
    </w:p>
    <w:p>
      <w:pPr>
        <w:pStyle w:val="Heading2"/>
      </w:pPr>
      <w:r>
        <w:rPr>
          <w:b w:val="0"/>
          <w:i w:val="0"/>
        </w:rPr>
        <w:t>Who sets the timetable?</w:t>
      </w:r>
    </w:p>
    <w:p>
      <w:pPr/>
      <w:r>
        <w:rPr>
          <w:b w:val="0"/>
          <w:i w:val="0"/>
        </w:rPr>
        <w:t>Institutions favour milestones because they make large groups manageable. Ages, stages, exams, licences, and ceremonies allow rules to be applied. Families and individuals experience time less evenly. Grief can make someone feel older. Illness can restore dependence. Migration can demand rapid competence in one setting and create uncertainty in another. A public status may change in a day while private adaptation takes years.</w:t>
      </w:r>
    </w:p>
    <w:p>
      <w:pPr/>
      <w:r>
        <w:rPr>
          <w:b w:val="0"/>
          <w:i w:val="0"/>
        </w:rPr>
        <w:t xml:space="preserve">The right comparison is not between movement and staying still. It is between chosen and imposed destinations, reversible and irreversible costs, and recognition granted by oneself or by others. An adolescent who learns a new code gains range. An institution that punishes every trace of the old code turns adaptation into erasure. The question </w:t>
      </w:r>
      <w:r>
        <w:rPr>
          <w:b w:val="0"/>
          <w:i/>
        </w:rPr>
        <w:t>Are We There Yet?</w:t>
      </w:r>
      <w:r>
        <w:rPr>
          <w:b w:val="0"/>
          <w:i w:val="0"/>
        </w:rPr>
        <w:t xml:space="preserve"> becomes political when one group owns the map and the power to certify arrival.</w:t>
      </w:r>
    </w:p>
    <w:p>
      <w:pPr/>
      <w:r>
        <w:rPr>
          <w:b w:val="0"/>
          <w:i w:val="0"/>
        </w:rPr>
        <w:t>A useful transfer case is a student entering a new school. Learning its timetable, slang, academic expectations, and friendship groups is necessary adaptation. The school can ease that route by translating rules, valuing home languages, and pairing newcomers with informed peers. Or it can treat every unfamiliar behaviour as a personal failure. The destination is nominally the same, participation in school, but the second route charges an unnecessary identity toll. That distinction also applies to workplaces, military training, religious conversion, and digital communities.</w:t>
      </w:r>
    </w:p>
    <w:p>
      <w:pPr>
        <w:pStyle w:val="WSCSourceNote"/>
        <w:shd w:fill="F7EACC" w:val="clear"/>
        <w:pBdr>
          <w:left w:val="single" w:sz="14" w:space="6" w:color="C89C44"/>
        </w:pBdr>
      </w:pPr>
      <w:r>
        <w:rPr>
          <w:b/>
          <w:i w:val="0"/>
        </w:rPr>
        <w:t>Sources for this chapter:</w:t>
      </w:r>
      <w:r>
        <w:rPr>
          <w:b w:val="0"/>
          <w:i w:val="0"/>
        </w:rPr>
        <w:t xml:space="preserve"> The official literary sources most central here are </w:t>
      </w:r>
      <w:hyperlink r:id="rId20">
        <w:r>
          <w:rPr>
            <w:rStyle w:val="WSCLink"/>
            <w:rFonts w:ascii="Georgia" w:hAnsi="Georgia" w:eastAsia="Georgia" w:cs="Georgia"/>
            <w:color w:val="825F1F"/>
            <w:u w:val="single"/>
          </w:rPr>
          <w:t>L136 - Karen Russell</w:t>
        </w:r>
      </w:hyperlink>
      <w:r>
        <w:rPr>
          <w:b w:val="0"/>
          <w:i w:val="0"/>
        </w:rPr>
        <w:t xml:space="preserve"> and </w:t>
      </w:r>
      <w:hyperlink r:id="rId17">
        <w:r>
          <w:rPr>
            <w:rStyle w:val="WSCLink"/>
            <w:rFonts w:ascii="Georgia" w:hAnsi="Georgia" w:eastAsia="Georgia" w:cs="Georgia"/>
            <w:color w:val="825F1F"/>
            <w:u w:val="single"/>
          </w:rPr>
          <w:t>L133 - Virginia Driving Hawk Sneve</w:t>
        </w:r>
      </w:hyperlink>
      <w:r>
        <w:rPr>
          <w:b w:val="0"/>
          <w:i w:val="0"/>
        </w:rPr>
        <w:t xml:space="preserve">, read beside </w:t>
      </w:r>
      <w:hyperlink r:id="rId22">
        <w:r>
          <w:rPr>
            <w:rStyle w:val="WSCLink"/>
            <w:rFonts w:ascii="Georgia" w:hAnsi="Georgia" w:eastAsia="Georgia" w:cs="Georgia"/>
            <w:color w:val="825F1F"/>
            <w:u w:val="single"/>
          </w:rPr>
          <w:t>L138 - Major Jackson</w:t>
        </w:r>
      </w:hyperlink>
      <w:r>
        <w:rPr>
          <w:b w:val="0"/>
          <w:i w:val="0"/>
        </w:rPr>
        <w:t>. The claims about migration are interpretive transfers, not claims that every migrant follows one pattern. Use a specific community and source before generalizing.</w:t>
      </w:r>
    </w:p>
    <w:p>
      <w:pPr>
        <w:pStyle w:val="Heading1"/>
        <w:pageBreakBefore/>
        <w:pBdr>
          <w:bottom w:val="single" w:sz="9" w:space="5" w:color="C89C44"/>
        </w:pBdr>
      </w:pPr>
      <w:r>
        <w:rPr>
          <w:b w:val="0"/>
          <w:i w:val="0"/>
        </w:rPr>
        <w:t>Chapter 5 - Effort, performance, and the danger of glorifying struggle</w:t>
      </w:r>
    </w:p>
    <w:p>
      <w:pPr/>
      <w:r>
        <w:rPr>
          <w:b w:val="0"/>
          <w:i w:val="0"/>
        </w:rPr>
        <w:t xml:space="preserve">People often recognize adulthood through small acts: paying a bill, buying groceries, booking an appointment, waking up for work, or caring for another person. The internet verb </w:t>
      </w:r>
      <w:r>
        <w:rPr>
          <w:b w:val="0"/>
          <w:i/>
        </w:rPr>
        <w:t>adulting</w:t>
      </w:r>
      <w:r>
        <w:rPr>
          <w:b w:val="0"/>
          <w:i w:val="0"/>
        </w:rPr>
        <w:t xml:space="preserve"> makes those acts sound like a costume put on for the day. The official </w:t>
      </w:r>
      <w:hyperlink r:id="rId23">
        <w:r>
          <w:rPr>
            <w:rStyle w:val="WSCLink"/>
            <w:rFonts w:ascii="Georgia" w:hAnsi="Georgia" w:eastAsia="Georgia" w:cs="Georgia"/>
            <w:color w:val="825F1F"/>
            <w:u w:val="single"/>
          </w:rPr>
          <w:t>L139 - history of "adulting"</w:t>
        </w:r>
      </w:hyperlink>
      <w:r>
        <w:rPr>
          <w:b w:val="0"/>
          <w:i w:val="0"/>
        </w:rPr>
        <w:t xml:space="preserve"> explains the word's comic grammar. English has turned the noun </w:t>
      </w:r>
      <w:r>
        <w:rPr>
          <w:b w:val="0"/>
          <w:i/>
        </w:rPr>
        <w:t>adult</w:t>
      </w:r>
      <w:r>
        <w:rPr>
          <w:b w:val="0"/>
          <w:i w:val="0"/>
        </w:rPr>
        <w:t xml:space="preserve"> into a verb, so a stable identity becomes a task.</w:t>
      </w:r>
    </w:p>
    <w:p>
      <w:pPr>
        <w:pStyle w:val="Heading2"/>
      </w:pPr>
      <w:r>
        <w:rPr>
          <w:b w:val="0"/>
          <w:i w:val="0"/>
        </w:rPr>
        <w:t>Performance is not always fake</w:t>
      </w:r>
    </w:p>
    <w:p>
      <w:pPr/>
      <w:r>
        <w:rPr>
          <w:b w:val="0"/>
          <w:i w:val="0"/>
        </w:rPr>
        <w:t>Calling something a performance can sound insulting, as if the person were pretending. In social life, repeated performance is often how a role becomes real. Teachers learn to teach by planning lessons and standing before classes. New parents may care for a child before they feel ready to call themselves parents. A young adult can build reliability by doing unglamorous tasks while still feeling uncertain.</w:t>
      </w:r>
    </w:p>
    <w:p>
      <w:pPr/>
      <w:r>
        <w:rPr>
          <w:b w:val="0"/>
          <w:i w:val="0"/>
        </w:rPr>
        <w:t>The joke works because the tasks have symbolic weight. Buying a vacuum cleaner is not biologically mature. It represents maintaining a household without being told. Going to bed early can show long-term planning, or simply exhaustion. The hashtag turns routine competence into a small achievement shared with peers. It also exposes how little instruction some people receive for work that adulthood supposedly makes automatic.</w:t>
      </w:r>
    </w:p>
    <w:p>
      <w:pPr/>
      <w:r>
        <w:rPr>
          <w:b w:val="0"/>
          <w:i w:val="0"/>
        </w:rPr>
        <w:t>There is a class dimension. One person celebrates cooking dinner; another has cooked for younger siblings since childhood. One calls a first apartment independence; another cannot access secure housing despite full-time work. If adulting is measured through consumption, such as purchasing appliances or decorating a home, people with fewer resources can appear less mature even when they carry heavier responsibilities.</w:t>
      </w:r>
    </w:p>
    <w:p>
      <w:pPr>
        <w:pStyle w:val="Heading2"/>
      </w:pPr>
      <w:r>
        <w:rPr>
          <w:b w:val="0"/>
          <w:i w:val="0"/>
        </w:rPr>
        <w:t>Pain is not proof of progress</w:t>
      </w:r>
    </w:p>
    <w:p>
      <w:pPr/>
      <w:r>
        <w:rPr>
          <w:b w:val="0"/>
          <w:i w:val="0"/>
        </w:rPr>
        <w:t>The phrase "growing pains" encourages a comforting story: difficulty means development is happening. Sometimes it does. Training a skill creates frustration. Leaving a familiar role produces grief. Accepting responsibility costs time and freedom. But pain alone proves nothing. An abusive initiation, impossible workload, or discriminatory barrier does not become valuable because someone survived it.</w:t>
      </w:r>
    </w:p>
    <w:p>
      <w:pPr/>
      <w:r>
        <w:rPr>
          <w:b w:val="0"/>
          <w:i w:val="0"/>
        </w:rPr>
        <w:t>Rites of passage can help a community recognize effort, but they can also glorify suffering or enforce conformity. The relevant questions are whether the challenge serves a clear purpose, whether participation is genuinely chosen, whether risk is proportionate, and whether support exists. Endurance is a virtue only when the destination deserves it.</w:t>
      </w:r>
    </w:p>
    <w:p>
      <w:pPr>
        <w:pStyle w:val="Heading2"/>
      </w:pPr>
      <w:r>
        <w:rPr>
          <w:b w:val="0"/>
          <w:i w:val="0"/>
        </w:rPr>
        <w:t>The final threshold in nine voices</w:t>
      </w:r>
    </w:p>
    <w:p>
      <w:pPr/>
      <w:r>
        <w:rPr>
          <w:b w:val="0"/>
          <w:i w:val="0"/>
        </w:rPr>
        <w:t xml:space="preserve">The section ends by asking how artists imagine death. In </w:t>
      </w:r>
      <w:hyperlink r:id="rId24">
        <w:r>
          <w:rPr>
            <w:rStyle w:val="WSCLink"/>
            <w:rFonts w:ascii="Georgia" w:hAnsi="Georgia" w:eastAsia="Georgia" w:cs="Georgia"/>
            <w:color w:val="825F1F"/>
            <w:u w:val="single"/>
          </w:rPr>
          <w:t>L140 - Rumi's "A stone I died"</w:t>
        </w:r>
      </w:hyperlink>
      <w:r>
        <w:rPr>
          <w:b w:val="0"/>
          <w:i w:val="0"/>
        </w:rPr>
        <w:t xml:space="preserve">, apparent endings become transformations from stone to plant, animal, and human. Death is not defeat but movement into another form. John Donne's </w:t>
      </w:r>
      <w:hyperlink r:id="rId25">
        <w:r>
          <w:rPr>
            <w:rStyle w:val="WSCLink"/>
            <w:rFonts w:ascii="Georgia" w:hAnsi="Georgia" w:eastAsia="Georgia" w:cs="Georgia"/>
            <w:color w:val="825F1F"/>
            <w:u w:val="single"/>
          </w:rPr>
          <w:t>L141 - "Death, be not proud"</w:t>
        </w:r>
      </w:hyperlink>
      <w:r>
        <w:rPr>
          <w:b w:val="0"/>
          <w:i w:val="0"/>
        </w:rPr>
        <w:t xml:space="preserve"> directly addresses death and denies its final power within a Christian vision of awakening.</w:t>
      </w:r>
    </w:p>
    <w:p>
      <w:pPr/>
      <w:r>
        <w:rPr>
          <w:b w:val="0"/>
          <w:i w:val="0"/>
        </w:rPr>
        <w:t xml:space="preserve">Tennyson's aged speaker in </w:t>
      </w:r>
      <w:hyperlink r:id="rId26">
        <w:r>
          <w:rPr>
            <w:rStyle w:val="WSCLink"/>
            <w:rFonts w:ascii="Georgia" w:hAnsi="Georgia" w:eastAsia="Georgia" w:cs="Georgia"/>
            <w:color w:val="825F1F"/>
            <w:u w:val="single"/>
          </w:rPr>
          <w:t>L142 - "Ulysses"</w:t>
        </w:r>
      </w:hyperlink>
      <w:r>
        <w:rPr>
          <w:b w:val="0"/>
          <w:i w:val="0"/>
        </w:rPr>
        <w:t xml:space="preserve"> refuses a quiet retirement and calls for another voyage. The energy is inspiring, but it can also look selfish: he defines meaning through continued striving and leaves ordinary governance to others. Emily Dickinson's </w:t>
      </w:r>
      <w:hyperlink r:id="rId27">
        <w:r>
          <w:rPr>
            <w:rStyle w:val="WSCLink"/>
            <w:rFonts w:ascii="Georgia" w:hAnsi="Georgia" w:eastAsia="Georgia" w:cs="Georgia"/>
            <w:color w:val="825F1F"/>
            <w:u w:val="single"/>
          </w:rPr>
          <w:t>L143 - "Because I could not stop for Death"</w:t>
        </w:r>
      </w:hyperlink>
      <w:r>
        <w:rPr>
          <w:b w:val="0"/>
          <w:i w:val="0"/>
        </w:rPr>
        <w:t xml:space="preserve"> turns dying into a slow carriage journey. Polite calm makes the movement more unsettling, not less.</w:t>
      </w:r>
    </w:p>
    <w:p>
      <w:pPr/>
      <w:r>
        <w:rPr>
          <w:b w:val="0"/>
          <w:i w:val="0"/>
        </w:rPr>
        <w:t xml:space="preserve">Rabindranath Tagore's </w:t>
      </w:r>
      <w:hyperlink r:id="rId28">
        <w:r>
          <w:rPr>
            <w:rStyle w:val="WSCLink"/>
            <w:rFonts w:ascii="Georgia" w:hAnsi="Georgia" w:eastAsia="Georgia" w:cs="Georgia"/>
            <w:color w:val="825F1F"/>
            <w:u w:val="single"/>
          </w:rPr>
          <w:t>L144 - "Gitanjali 95"</w:t>
        </w:r>
      </w:hyperlink>
      <w:r>
        <w:rPr>
          <w:b w:val="0"/>
          <w:i w:val="0"/>
        </w:rPr>
        <w:t xml:space="preserve"> compares the unknown of death with the forgotten threshold of birth. Dmitri Shostakovich's </w:t>
      </w:r>
      <w:hyperlink r:id="rId29">
        <w:r>
          <w:rPr>
            <w:rStyle w:val="WSCLink"/>
            <w:rFonts w:ascii="Georgia" w:hAnsi="Georgia" w:eastAsia="Georgia" w:cs="Georgia"/>
            <w:color w:val="825F1F"/>
            <w:u w:val="single"/>
          </w:rPr>
          <w:t>L145 - Symphony No. 15, fourth movement</w:t>
        </w:r>
      </w:hyperlink>
      <w:r>
        <w:rPr>
          <w:b w:val="0"/>
          <w:i w:val="0"/>
        </w:rPr>
        <w:t xml:space="preserve"> offers no verbal doctrine. Its borrowed musical memories, sparse textures, and fading percussion make listeners experience an ending that is difficult to settle.</w:t>
      </w:r>
    </w:p>
    <w:p>
      <w:pPr/>
      <w:r>
        <w:rPr>
          <w:b w:val="0"/>
          <w:i w:val="0"/>
        </w:rPr>
        <w:t xml:space="preserve">Thich Nhat Hanh's </w:t>
      </w:r>
      <w:hyperlink r:id="rId30">
        <w:r>
          <w:rPr>
            <w:rStyle w:val="WSCLink"/>
            <w:rFonts w:ascii="Georgia" w:hAnsi="Georgia" w:eastAsia="Georgia" w:cs="Georgia"/>
            <w:color w:val="825F1F"/>
            <w:u w:val="single"/>
          </w:rPr>
          <w:t>L146 - "Please Call Me by My True Names"</w:t>
        </w:r>
      </w:hyperlink>
      <w:r>
        <w:rPr>
          <w:b w:val="0"/>
          <w:i w:val="0"/>
        </w:rPr>
        <w:t xml:space="preserve"> expands the self across victim, perpetrator, human, and nonhuman life. Arrival and departure happen continuously. David Berman's </w:t>
      </w:r>
      <w:hyperlink r:id="rId31">
        <w:r>
          <w:rPr>
            <w:rStyle w:val="WSCLink"/>
            <w:rFonts w:ascii="Georgia" w:hAnsi="Georgia" w:eastAsia="Georgia" w:cs="Georgia"/>
            <w:color w:val="825F1F"/>
            <w:u w:val="single"/>
          </w:rPr>
          <w:t>L147 - imagined Asimov deathbed letter</w:t>
        </w:r>
      </w:hyperlink>
      <w:r>
        <w:rPr>
          <w:b w:val="0"/>
          <w:i w:val="0"/>
        </w:rPr>
        <w:t xml:space="preserve"> uses the intimacy of a letter and the borrowed voice of a famous writer to approach separation through love, wit, and literary invention. Its title should not be mistaken for an authentic Asimov document.</w:t>
      </w:r>
    </w:p>
    <w:p>
      <w:pPr/>
      <w:r>
        <w:rPr>
          <w:b w:val="0"/>
          <w:i w:val="0"/>
        </w:rPr>
        <w:t xml:space="preserve">Linkin Park's </w:t>
      </w:r>
      <w:hyperlink r:id="rId32">
        <w:r>
          <w:rPr>
            <w:rStyle w:val="WSCLink"/>
            <w:rFonts w:ascii="Georgia" w:hAnsi="Georgia" w:eastAsia="Georgia" w:cs="Georgia"/>
            <w:color w:val="825F1F"/>
            <w:u w:val="single"/>
          </w:rPr>
          <w:t>L148 - "In the End"</w:t>
        </w:r>
      </w:hyperlink>
      <w:r>
        <w:rPr>
          <w:b w:val="0"/>
          <w:i w:val="0"/>
        </w:rPr>
        <w:t xml:space="preserve"> measures effort against an outcome that seems to cancel it. The song's force comes from the clash between trying hard and finding that the attempt "doesn't even matter." Yet a listener may resist that verdict. An effort can matter through what it changes before the final result, even when the stated goal is not reached.</w:t>
      </w:r>
    </w:p>
    <w:p>
      <w:pPr>
        <w:pStyle w:val="Heading2"/>
      </w:pPr>
      <w:r>
        <w:rPr>
          <w:b w:val="0"/>
          <w:i w:val="0"/>
        </w:rPr>
        <w:t>Form changes the shape of the threshold</w:t>
      </w:r>
    </w:p>
    <w:p>
      <w:pPr/>
      <w:r>
        <w:rPr>
          <w:b w:val="0"/>
          <w:i w:val="0"/>
        </w:rPr>
        <w:t>Rumi and Donne argue against death's finality, but their voices move differently. Rumi builds a sequence of transformations. Each apparent death becomes the condition for another life, so the poem trains the reader to expect continuation. Donne stages a confrontation. By addressing Death as a proud but limited person, the speaker reduces an overwhelming force to an opponent whose authority can be disputed. Both rely on religious or metaphysical commitments. A reader can analyze the strategy without sharing the belief.</w:t>
      </w:r>
    </w:p>
    <w:p>
      <w:pPr/>
      <w:r>
        <w:rPr>
          <w:b w:val="0"/>
          <w:i w:val="0"/>
        </w:rPr>
        <w:t>Dickinson and Tagore make the unknown familiar through different thresholds. Dickinson's carriage turns death into a social caller who controls the pace. The journey passes scenes associated with life stages, then exceeds ordinary clock time. Tagore looks backward to birth, another crossing the speaker cannot remember, and uses that forgotten arrival as an analogy for death. One makes the final trip uncanny through excessive politeness; the other makes it less alien by pairing it with an earlier mystery already survived.</w:t>
      </w:r>
    </w:p>
    <w:p>
      <w:pPr/>
      <w:r>
        <w:rPr>
          <w:b w:val="0"/>
          <w:i/>
        </w:rPr>
        <w:t>Ulysses</w:t>
      </w:r>
      <w:r>
        <w:rPr>
          <w:b w:val="0"/>
          <w:i w:val="0"/>
        </w:rPr>
        <w:t xml:space="preserve"> and "In the End" disagree about effort. Tennyson's speaker treats continued striving as the substance of identity even when strength and time are failing. Linkin Park's speaker experiences the final result as capable of cancelling an enormous attempt. Put beside adulting, they expose two common errors. One glorifies motion so completely that stopping becomes shameful. The other lets one destination decide that everything on the route was worthless. A strong judgment can reject both extremes.</w:t>
      </w:r>
    </w:p>
    <w:p>
      <w:pPr/>
      <w:r>
        <w:rPr>
          <w:b w:val="0"/>
          <w:i w:val="0"/>
        </w:rPr>
        <w:t>Shostakovich's finale matters because instrumental music cannot state a doctrine about an afterlife. Listeners instead encounter recurrence, interruption, silence, and an ending spread across timbre and time. References to earlier musical worlds surface like memory. Sparse percussion continues after much of the orchestra has withdrawn. The piece makes listeners decide when the life of the movement is truly over, a bodily version of "are we there yet" that no paraphrased lyric can reproduce.</w:t>
      </w:r>
    </w:p>
    <w:p>
      <w:pPr/>
      <w:r>
        <w:rPr>
          <w:b w:val="0"/>
          <w:i w:val="0"/>
        </w:rPr>
        <w:t>Thich Nhat Hanh and Berman challenge the boundary of the isolated self. "Please Call Me by My True Names" asks the speaker to recognize identity across lives normally kept morally separate. The threshold is not simply from life to death but from a narrow self to interbeing and compassion. Berman's fictionalized letter uses the intimacy of a husband addressing a wife, yet its title borrows Asimov's name and a deathbed situation. That double voice makes authorship part of the threshold: a poet imagines what another person's final address could reveal.</w:t>
      </w:r>
    </w:p>
    <w:p>
      <w:pPr/>
      <w:r>
        <w:rPr>
          <w:b w:val="0"/>
          <w:i w:val="0"/>
        </w:rPr>
        <w:t>The order of the curriculum creates one more comparison. It moves from medieval mystical transformation through early modern Christian defiance, Victorian striving and carriage imagery, Tagore's threshold, twentieth-century symphony and engaged Buddhism, then a postmodern borrowed letter and a global rock song. Death remains the destination, but the available language changes with genre, belief, and audience. Chronology does not show humanity progressing toward the correct answer. It shows each period making the final unknown speak in its own forms.</w:t>
      </w:r>
    </w:p>
    <w:p>
      <w:pPr>
        <w:pStyle w:val="Heading2"/>
      </w:pPr>
      <w:r>
        <w:rPr>
          <w:b w:val="0"/>
          <w:i w:val="0"/>
        </w:rPr>
        <w:t>When should effort stop?</w:t>
      </w:r>
    </w:p>
    <w:p>
      <w:pPr/>
      <w:r>
        <w:rPr>
          <w:b w:val="0"/>
          <w:i w:val="0"/>
        </w:rPr>
        <w:t>The nine works refuse one answer. Some imagine death as passage, some confront it, some continue striving, and some make finality uncertain. Together with adulting, they expose a moral danger: praising effort without examining its object. Ulysses' refusal to stop can be courage or avoidance. Linkin Park's despair can be a judgment on wasted struggle or an emotional state that hides intermediate value. Rumi's transformation can comfort, but it rests on a metaphysical vision not every reader shares.</w:t>
      </w:r>
    </w:p>
    <w:p>
      <w:pPr/>
      <w:r>
        <w:rPr>
          <w:b w:val="0"/>
          <w:i w:val="0"/>
        </w:rPr>
        <w:t>A mature answer does not equate adulthood with endless endurance. It asks what can still change, who bears the cost, and whether stopping is failure, completion, or the beginning of another route. At the last threshold, nobody can provide an objective progress bar. Art gives us competing ways to face that absence.</w:t>
      </w:r>
    </w:p>
    <w:p>
      <w:pPr>
        <w:pStyle w:val="WSCSourceNote"/>
        <w:shd w:fill="F7EACC" w:val="clear"/>
        <w:pBdr>
          <w:left w:val="single" w:sz="14" w:space="6" w:color="C89C44"/>
        </w:pBdr>
      </w:pPr>
      <w:r>
        <w:rPr>
          <w:b/>
          <w:i w:val="0"/>
        </w:rPr>
        <w:t>Sources for this chapter:</w:t>
      </w:r>
      <w:r>
        <w:rPr>
          <w:b w:val="0"/>
          <w:i w:val="0"/>
        </w:rPr>
        <w:t xml:space="preserve"> The official sources are </w:t>
      </w:r>
      <w:hyperlink r:id="rId23">
        <w:r>
          <w:rPr>
            <w:rStyle w:val="WSCLink"/>
            <w:rFonts w:ascii="Georgia" w:hAnsi="Georgia" w:eastAsia="Georgia" w:cs="Georgia"/>
            <w:color w:val="825F1F"/>
            <w:u w:val="single"/>
          </w:rPr>
          <w:t>L139</w:t>
        </w:r>
      </w:hyperlink>
      <w:r>
        <w:rPr>
          <w:b w:val="0"/>
          <w:i w:val="0"/>
        </w:rPr>
        <w:t xml:space="preserve"> and the complete final sequence, </w:t>
      </w:r>
      <w:hyperlink r:id="rId24">
        <w:r>
          <w:rPr>
            <w:rStyle w:val="WSCLink"/>
            <w:rFonts w:ascii="Georgia" w:hAnsi="Georgia" w:eastAsia="Georgia" w:cs="Georgia"/>
            <w:color w:val="825F1F"/>
            <w:u w:val="single"/>
          </w:rPr>
          <w:t>L140</w:t>
        </w:r>
      </w:hyperlink>
      <w:r>
        <w:rPr>
          <w:b w:val="0"/>
          <w:i w:val="0"/>
        </w:rPr>
        <w:t xml:space="preserve"> through </w:t>
      </w:r>
      <w:hyperlink r:id="rId32">
        <w:r>
          <w:rPr>
            <w:rStyle w:val="WSCLink"/>
            <w:rFonts w:ascii="Georgia" w:hAnsi="Georgia" w:eastAsia="Georgia" w:cs="Georgia"/>
            <w:color w:val="825F1F"/>
            <w:u w:val="single"/>
          </w:rPr>
          <w:t>L148</w:t>
        </w:r>
      </w:hyperlink>
      <w:r>
        <w:rPr>
          <w:b w:val="0"/>
          <w:i w:val="0"/>
        </w:rPr>
        <w:t>. The curriculum's title for L147 names a poem by David Berman, not a verified letter written by Isaac Asimov. That distinction is exactly the sort of source detail an official question can test.</w:t>
      </w:r>
    </w:p>
    <w:p>
      <w:pPr>
        <w:pStyle w:val="Heading1"/>
        <w:pBdr>
          <w:bottom w:val="single" w:sz="9" w:space="5" w:color="C89C44"/>
        </w:pBdr>
      </w:pPr>
      <w:r>
        <w:rPr>
          <w:b w:val="0"/>
          <w:i w:val="0"/>
        </w:rPr>
        <w:t>Final synthesis - Adulthood has many borders</w:t>
      </w:r>
    </w:p>
    <w:p>
      <w:pPr/>
      <w:r>
        <w:rPr>
          <w:b w:val="0"/>
          <w:i/>
        </w:rPr>
        <w:t>Going Pains</w:t>
      </w:r>
      <w:r>
        <w:rPr>
          <w:b w:val="0"/>
          <w:i w:val="0"/>
        </w:rPr>
        <w:t xml:space="preserve"> begins by removing a false finish line. The brain does not become complete at one birthday, and the social category of the teenager is not the same thing as the developmental period of adolescence. It then shows why societies keep drawing lines anyway. Names, ceremonies, licences, graduations, and everyday tasks make gradual change manageable and visible.</w:t>
      </w:r>
    </w:p>
    <w:p>
      <w:pPr/>
      <w:r>
        <w:rPr>
          <w:b w:val="0"/>
          <w:i w:val="0"/>
        </w:rPr>
        <w:t>The artistic works preserve what those systems leave out. A threshold can feel like swagger, embarrassment, wonder, assimilation, escape, renewal, defiance, calm, or grief. Moving forward can create competence while weakening a connection to home. Continuing to try can be brave, wasteful, or both. Death can be imagined as an ending, a passage, a journey, or a failure of language.</w:t>
      </w:r>
    </w:p>
    <w:p>
      <w:pPr/>
      <w:r>
        <w:rPr>
          <w:b w:val="0"/>
          <w:i w:val="0"/>
        </w:rPr>
        <w:t>For a Scholar's Bowl comparison, begin with the measure of arrival. Is it biological development, a number word, a legal right, a public ceremony, a repeated habit, acceptance by a new community, or the person's own feeling? Then ask who chose that measure and what it hides. The best answer to "Are we adults yet?" may be that we arrive many times, for different purposes, while remaining unfinished.</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GOING PAINS</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GOING PAINS</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theconversation.com/no-your-brain-doesnt-suddenly-fully-develop-at-25-heres-what-the-neuroscience-actually-shows-271826" TargetMode="External"/><Relationship Id="rId13" Type="http://schemas.openxmlformats.org/officeDocument/2006/relationships/hyperlink" Target="https://developingadolescent.semel.ucla.edu/blog/item/adolescence-across-the-animal-kingdom" TargetMode="External"/><Relationship Id="rId14" Type="http://schemas.openxmlformats.org/officeDocument/2006/relationships/hyperlink" Target="https://www.saturdayeveningpost.com/2018/02/brief-history-teenagers/" TargetMode="External"/><Relationship Id="rId15" Type="http://schemas.openxmlformats.org/officeDocument/2006/relationships/hyperlink" Target="https://blog.britishnewspaperarchive.co.uk/2020/03/30/birth-of-the-teenager/" TargetMode="External"/><Relationship Id="rId16" Type="http://schemas.openxmlformats.org/officeDocument/2006/relationships/hyperlink" Target="https://www.poetryfoundation.org/poetrymagazine/poems/28112/we-real-cool" TargetMode="External"/><Relationship Id="rId17" Type="http://schemas.openxmlformats.org/officeDocument/2006/relationships/hyperlink" Target="https://www.btboces.org/Downloads/7_The%20Medicine%20Bag%20by%20Virginia%20Driving%20Hawk%20Sneve.pdf" TargetMode="External"/><Relationship Id="rId18" Type="http://schemas.openxmlformats.org/officeDocument/2006/relationships/hyperlink" Target="https://www.scottishpoetrylibrary.org.uk/poem/in-mrs-tilschers-class/" TargetMode="External"/><Relationship Id="rId19" Type="http://schemas.openxmlformats.org/officeDocument/2006/relationships/hyperlink" Target="https://www.youtube.com/watch?v=TiWwucVyX9s" TargetMode="External"/><Relationship Id="rId20" Type="http://schemas.openxmlformats.org/officeDocument/2006/relationships/hyperlink" Target="https://cisyeo.pbworks.com/f/Girls+Raised+By+Wolves.pdf" TargetMode="External"/><Relationship Id="rId21" Type="http://schemas.openxmlformats.org/officeDocument/2006/relationships/hyperlink" Target="https://www.youtube.com/watch?v=58TBZnvyGwQ" TargetMode="External"/><Relationship Id="rId22" Type="http://schemas.openxmlformats.org/officeDocument/2006/relationships/hyperlink" Target="https://poets.org/poem/let-me-begin-again" TargetMode="External"/><Relationship Id="rId23" Type="http://schemas.openxmlformats.org/officeDocument/2006/relationships/hyperlink" Target="https://time.com/4361866/adulting-definition-meaning/" TargetMode="External"/><Relationship Id="rId24" Type="http://schemas.openxmlformats.org/officeDocument/2006/relationships/hyperlink" Target="https://www.poetseers.org/the-poetseers/rumi/a-stone-i-died/" TargetMode="External"/><Relationship Id="rId25" Type="http://schemas.openxmlformats.org/officeDocument/2006/relationships/hyperlink" Target="https://www.poetryfoundation.org/poems/44107/holy-sonnets-death-be-not-proud" TargetMode="External"/><Relationship Id="rId26" Type="http://schemas.openxmlformats.org/officeDocument/2006/relationships/hyperlink" Target="https://www.poetryfoundation.org/poems/45392/ulysses" TargetMode="External"/><Relationship Id="rId27" Type="http://schemas.openxmlformats.org/officeDocument/2006/relationships/hyperlink" Target="https://www.poetryfoundation.org/poems/47652/because-i-could-not-stop-for-death-479" TargetMode="External"/><Relationship Id="rId28" Type="http://schemas.openxmlformats.org/officeDocument/2006/relationships/hyperlink" Target="https://poets.org/poem/gitanjali-95" TargetMode="External"/><Relationship Id="rId29" Type="http://schemas.openxmlformats.org/officeDocument/2006/relationships/hyperlink" Target="https://youtu.be/QLng0R1FzC4?si=3Cvddx-PHIdrDi5n&amp;t=1740" TargetMode="External"/><Relationship Id="rId30" Type="http://schemas.openxmlformats.org/officeDocument/2006/relationships/hyperlink" Target="https://www.parallax.org/mindfulnessbell/article/poem-please-call-me-by-my-true-names/" TargetMode="External"/><Relationship Id="rId31" Type="http://schemas.openxmlformats.org/officeDocument/2006/relationships/hyperlink" Target="https://biblioklept.org/2019/08/21/a-letter-from-isaac-asimov-to-his-wife-janet-written-on-his-deathbed-david-berman/" TargetMode="External"/><Relationship Id="rId32" Type="http://schemas.openxmlformats.org/officeDocument/2006/relationships/hyperlink" Target="https://www.youtube.com/watch?v=eVTXPUF4Oz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Going Pains</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