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AF2"/>
  <w:body>
    <w:p>
      <w:pPr>
        <w:pStyle w:val="WSCKicker"/>
      </w:pPr>
      <w:r>
        <w:t>WSCAPP 2026 | SCHOLAR'S GUIDE</w:t>
      </w:r>
    </w:p>
    <w:p>
      <w:pPr>
        <w:pStyle w:val="Title"/>
      </w:pPr>
      <w:r>
        <w:rPr>
          <w:b w:val="0"/>
          <w:i w:val="0"/>
        </w:rPr>
        <w:t>There’s a Draft in Here</w:t>
      </w:r>
    </w:p>
    <w:p>
      <w:pPr>
        <w:pStyle w:val="WSCSubtitle"/>
        <w:pBdr>
          <w:bottom w:val="single" w:sz="10" w:space="8" w:color="C89C44"/>
        </w:pBdr>
      </w:pPr>
      <w:r>
        <w:rPr>
          <w:b w:val="0"/>
          <w:i w:val="0"/>
        </w:rPr>
        <w:t>Finished works make their own history disappear. This guide restores that history by following paintings, songs, deleted scenes, and rehearsed actions while they are still changing.</w:t>
      </w:r>
    </w:p>
    <w:p>
      <w:pPr>
        <w:pStyle w:val="Heading1"/>
        <w:pBdr>
          <w:bottom w:val="single" w:sz="9" w:space="5" w:color="C89C44"/>
        </w:pBdr>
      </w:pPr>
      <w:r>
        <w:rPr>
          <w:b w:val="0"/>
          <w:i w:val="0"/>
        </w:rPr>
        <w:t>Reading the section as a story of decisions</w:t>
      </w:r>
    </w:p>
    <w:p>
      <w:pPr/>
      <w:r>
        <w:rPr>
          <w:b w:val="0"/>
          <w:i w:val="0"/>
        </w:rPr>
        <w:t>The four official branches in this section belong to one argument. A visual study records choices before or between paintings. A musical demo lets us hear a song while its melody, lyrics, voice, arrangement, and dramatic purpose are still unsettled. A cut song proves that a piece can be complete and still be wrong for the work around it. Rehearsal moves the same idea from an object to an action: the performer creates a temporary version of a future performance, watches what happens, and changes the next attempt.</w:t>
      </w:r>
    </w:p>
    <w:p>
      <w:pPr/>
      <w:r>
        <w:rPr>
          <w:b w:val="0"/>
          <w:i w:val="0"/>
        </w:rPr>
        <w:t>This means that a draft is not simply an inferior final. Some drafts are rough because speed matters more than finish. Others are polished enough to circulate among collaborators or audiences. Some preserve an idea that the final work abandons; some reveal that the creator did not yet understand the problem. The most useful question is therefore not whether a version looks finished. Ask what the version was meant to test, what evidence it produced, and which later decision followed from that evidence.</w:t>
      </w:r>
    </w:p>
    <w:p>
      <w:pPr/>
      <w:r>
        <w:rPr>
          <w:b w:val="0"/>
          <w:i w:val="0"/>
        </w:rPr>
        <w:t>The official links are part of the curriculum, not illustrations placed beside it. For the paintings, students need to compare the linked images rather than memorize four pairs of titles. For the songs, they need to listen for decisions rather than merely identify the singer. The rehearsal branch asks for the same kind of attention: feeling familiar is not the same as performing accurately after a delay or under changed conditions.</w:t>
      </w:r>
    </w:p>
    <w:p>
      <w:pPr>
        <w:pStyle w:val="Heading1"/>
        <w:pageBreakBefore/>
        <w:pBdr>
          <w:bottom w:val="single" w:sz="9" w:space="5" w:color="C89C44"/>
        </w:pBdr>
      </w:pPr>
      <w:r>
        <w:rPr>
          <w:b w:val="0"/>
          <w:i w:val="0"/>
        </w:rPr>
        <w:t>Chapter 1 - What a visual draft can reveal</w:t>
      </w:r>
    </w:p>
    <w:p>
      <w:pPr/>
      <w:r>
        <w:rPr>
          <w:b w:val="0"/>
          <w:i w:val="0"/>
        </w:rPr>
        <w:t>A museum wall usually gives us one object and one date. The clean label can make creation look instantaneous, as though the artist moved directly from an idea to the image that survived. Studios are messier. Artists make studies of hands, faces, poses, colour relationships, and whole compositions. They repeat a subject because the first version was damaged, because a patron requested another, because the scale changed, or because the subject still had more to give. They copy their own work and the work of others. Assistants participate. Later owners alter surfaces, and pigments age. The finished image is only one point in a longer material history.</w:t>
      </w:r>
    </w:p>
    <w:p>
      <w:pPr>
        <w:pStyle w:val="Heading2"/>
      </w:pPr>
      <w:r>
        <w:rPr>
          <w:b w:val="0"/>
          <w:i w:val="0"/>
        </w:rPr>
        <w:t>A draft, a study, a version, and a copy are not the same thing</w:t>
      </w:r>
    </w:p>
    <w:p>
      <w:pPr/>
      <w:r>
        <w:rPr>
          <w:b w:val="0"/>
          <w:i w:val="0"/>
        </w:rPr>
        <w:t>A preparatory study tests a problem before another work: the turn of a shoulder, the spacing of figures, or the movement of a line. A full-size cartoon is a drawing used to transfer a complete composition. A version returns to a subject in a separate work, sometimes with small changes and sometimes with a new purpose. A copy aims to reproduce an existing image, though even a careful copy can introduce differences. A disputed attribution asks a different question altogether: who made the object? Calling every related image a draft erases these distinctions.</w:t>
      </w:r>
    </w:p>
    <w:p>
      <w:pPr/>
      <w:r>
        <w:rPr>
          <w:b w:val="0"/>
          <w:i w:val="0"/>
        </w:rPr>
        <w:t xml:space="preserve">The curriculum’s first comparison makes this caution necessary. The Louvre portrait commonly called the </w:t>
      </w:r>
      <w:hyperlink r:id="rId12">
        <w:r>
          <w:rPr>
            <w:rStyle w:val="WSCLink"/>
            <w:rFonts w:ascii="Georgia" w:hAnsi="Georgia" w:eastAsia="Georgia" w:cs="Georgia"/>
            <w:color w:val="825F1F"/>
            <w:u w:val="single"/>
          </w:rPr>
          <w:t>Mona Lisa (L049)</w:t>
        </w:r>
      </w:hyperlink>
      <w:r>
        <w:rPr>
          <w:b w:val="0"/>
          <w:i w:val="0"/>
        </w:rPr>
        <w:t xml:space="preserve"> is dated broadly to 1503-1519. The </w:t>
      </w:r>
      <w:hyperlink r:id="rId13">
        <w:r>
          <w:rPr>
            <w:rStyle w:val="WSCLink"/>
            <w:rFonts w:ascii="Georgia" w:hAnsi="Georgia" w:eastAsia="Georgia" w:cs="Georgia"/>
            <w:color w:val="825F1F"/>
            <w:u w:val="single"/>
          </w:rPr>
          <w:t>Isleworth Mona Lisa (L050)</w:t>
        </w:r>
      </w:hyperlink>
      <w:r>
        <w:rPr>
          <w:b w:val="0"/>
          <w:i w:val="0"/>
        </w:rPr>
        <w:t xml:space="preserve"> repeats the seated pose and folded hands but presents a younger-looking sitter, a different background, visible side columns, and a different support. Its owners and some researchers have argued that it is an earlier Leonardo version. Other specialists regard it as a later copy or reject the attribution. A </w:t>
      </w:r>
      <w:hyperlink r:id="rId14">
        <w:r>
          <w:rPr>
            <w:rStyle w:val="WSCLink"/>
            <w:rFonts w:ascii="Georgia" w:hAnsi="Georgia" w:eastAsia="Georgia" w:cs="Georgia"/>
            <w:color w:val="825F1F"/>
            <w:u w:val="single"/>
          </w:rPr>
          <w:t>Smithsonian Museum Conservation Institute bibliography</w:t>
        </w:r>
      </w:hyperlink>
      <w:r>
        <w:rPr>
          <w:b w:val="0"/>
          <w:i w:val="0"/>
        </w:rPr>
        <w:t xml:space="preserve"> describes support for a relationship while noting that only a few scholars attribute the Isleworth painting to Leonardo.</w:t>
      </w:r>
    </w:p>
    <w:p>
      <w:pPr/>
      <w:r>
        <w:rPr>
          <w:b w:val="0"/>
          <w:i w:val="0"/>
        </w:rPr>
        <w:t>The lesson is methodological. Visual resemblance is evidence of a relationship, but it does not identify the relationship by itself. To call the Isleworth painting a draft, a student would need evidence about authorship, date, materials, provenance, and working sequence. The uncertainty is not an inconvenience to remove. It is the reason this pair belongs in a section about drafts: deciding what kind of earlier or alternate object we are looking at is itself part of the research.</w:t>
      </w:r>
    </w:p>
    <w:p>
      <w:pPr>
        <w:pStyle w:val="Heading2"/>
      </w:pPr>
      <w:r>
        <w:rPr>
          <w:b w:val="0"/>
          <w:i w:val="0"/>
        </w:rPr>
        <w:t>How a drawing could move onto a larger surface</w:t>
      </w:r>
    </w:p>
    <w:p>
      <w:pPr/>
      <w:r>
        <w:rPr>
          <w:b w:val="0"/>
          <w:i w:val="0"/>
        </w:rPr>
        <w:t>The official prompt also asks how artists transfer sketches to a canvas, panel, or wall. One method is squaring. The artist draws a grid over a small study and a proportional grid on the larger support, then copies the contents square by square. This helps enlarge a design while preserving relative positions. The grid does not make every decision automatic. It stabilizes scale and placement so that the artist can keep revising line, colour, and expression during painting.</w:t>
      </w:r>
    </w:p>
    <w:p>
      <w:pPr/>
      <w:r>
        <w:rPr>
          <w:b w:val="0"/>
          <w:i w:val="0"/>
        </w:rPr>
        <w:t xml:space="preserve">Another method is pouncing. The artist pricks small holes along the outlines of a full-size paper cartoon, places it against the new surface, and taps charcoal or another powder through the holes. When the paper is removed, the surface carries a dotted guide. The </w:t>
      </w:r>
      <w:hyperlink r:id="rId15">
        <w:r>
          <w:rPr>
            <w:rStyle w:val="WSCLink"/>
            <w:rFonts w:ascii="Georgia" w:hAnsi="Georgia" w:eastAsia="Georgia" w:cs="Georgia"/>
            <w:color w:val="825F1F"/>
            <w:u w:val="single"/>
          </w:rPr>
          <w:t>National Gallery’s explanation of pouncing</w:t>
        </w:r>
      </w:hyperlink>
      <w:r>
        <w:rPr>
          <w:b w:val="0"/>
          <w:i w:val="0"/>
        </w:rPr>
        <w:t xml:space="preserve"> shows why the word does not refer to sketching freely on the final support. It is a physical transfer process.</w:t>
      </w:r>
    </w:p>
    <w:p>
      <w:pPr/>
      <w:r>
        <w:rPr>
          <w:b w:val="0"/>
          <w:i w:val="0"/>
        </w:rPr>
        <w:t xml:space="preserve">Tracing can use a darkened sheet between the drawing and the prepared panel. A stylus follows the lines above and presses a copy below. The National Gallery’s research on </w:t>
      </w:r>
      <w:hyperlink r:id="rId16">
        <w:r>
          <w:rPr>
            <w:rStyle w:val="WSCLink"/>
            <w:rFonts w:ascii="Georgia" w:hAnsi="Georgia" w:eastAsia="Georgia" w:cs="Georgia"/>
            <w:color w:val="825F1F"/>
            <w:u w:val="single"/>
          </w:rPr>
          <w:t>Raphael’s drawings and cartoons</w:t>
        </w:r>
      </w:hyperlink>
      <w:r>
        <w:rPr>
          <w:b w:val="0"/>
          <w:i w:val="0"/>
        </w:rPr>
        <w:t xml:space="preserve"> explains both tracing and pouncing, and shows how infrared examination can reveal pounced dots beneath later paint. These techniques remind us that a draft can survive inside a finished work as hidden geometry even when the paper draft is lost.</w:t>
      </w:r>
    </w:p>
    <w:p>
      <w:pPr>
        <w:pStyle w:val="Heading2"/>
      </w:pPr>
      <w:r>
        <w:rPr>
          <w:b w:val="0"/>
          <w:i w:val="0"/>
        </w:rPr>
        <w:t>Van Gogh’s bedroom: repetition with a reason</w:t>
      </w:r>
    </w:p>
    <w:p>
      <w:pPr/>
      <w:r>
        <w:rPr>
          <w:b w:val="0"/>
          <w:i w:val="0"/>
        </w:rPr>
        <w:t xml:space="preserve">Vincent van Gogh’s three bedroom paintings look close enough to invite a spot-the-difference exercise, but their sequence tells a more useful story. He conceived the first </w:t>
      </w:r>
      <w:hyperlink r:id="rId17">
        <w:r>
          <w:rPr>
            <w:rStyle w:val="WSCLink"/>
            <w:rFonts w:ascii="Georgia" w:hAnsi="Georgia" w:eastAsia="Georgia" w:cs="Georgia"/>
            <w:color w:val="825F1F"/>
            <w:u w:val="single"/>
          </w:rPr>
          <w:t>Bedroom in Arles in October 1888 (L051)</w:t>
        </w:r>
      </w:hyperlink>
      <w:r>
        <w:rPr>
          <w:b w:val="0"/>
          <w:i w:val="0"/>
        </w:rPr>
        <w:t>, shortly after moving into the Yellow House. The room represented a rare experience of having a place of his own. In a letter to his brother Theo, Van Gogh described the colours as a way to suggest rest or sleep, even though the sharply receding furniture and strong contrasts can feel restless to a modern viewer.</w:t>
      </w:r>
    </w:p>
    <w:p>
      <w:pPr/>
      <w:r>
        <w:rPr>
          <w:b w:val="0"/>
          <w:i w:val="0"/>
        </w:rPr>
        <w:t xml:space="preserve">The first canvas was later damaged by flooding. While Van Gogh was at the asylum in Saint-Rémy, Theo proposed lining the damaged painting. Before that risky conservation work, Van Gogh painted a second version in September 1889 at almost the same scale. That is the </w:t>
      </w:r>
      <w:hyperlink r:id="rId18">
        <w:r>
          <w:rPr>
            <w:rStyle w:val="WSCLink"/>
            <w:rFonts w:ascii="Georgia" w:hAnsi="Georgia" w:eastAsia="Georgia" w:cs="Georgia"/>
            <w:color w:val="825F1F"/>
            <w:u w:val="single"/>
          </w:rPr>
          <w:t>Art Institute of Chicago painting (L052)</w:t>
        </w:r>
      </w:hyperlink>
      <w:r>
        <w:rPr>
          <w:b w:val="0"/>
          <w:i w:val="0"/>
        </w:rPr>
        <w:t xml:space="preserve">. A few weeks later he made a smaller third version, now represented by the curriculum’s </w:t>
      </w:r>
      <w:hyperlink r:id="rId19">
        <w:r>
          <w:rPr>
            <w:rStyle w:val="WSCLink"/>
            <w:rFonts w:ascii="Georgia" w:hAnsi="Georgia" w:eastAsia="Georgia" w:cs="Georgia"/>
            <w:color w:val="825F1F"/>
            <w:u w:val="single"/>
          </w:rPr>
          <w:t>third linked Bedroom (L053)</w:t>
        </w:r>
      </w:hyperlink>
      <w:r>
        <w:rPr>
          <w:b w:val="0"/>
          <w:i w:val="0"/>
        </w:rPr>
        <w:t>, as a gift for his mother and sister.</w:t>
      </w:r>
    </w:p>
    <w:p>
      <w:pPr/>
      <w:r>
        <w:rPr>
          <w:b w:val="0"/>
          <w:i w:val="0"/>
        </w:rPr>
        <w:t xml:space="preserve">The </w:t>
      </w:r>
      <w:hyperlink r:id="rId20">
        <w:r>
          <w:rPr>
            <w:rStyle w:val="WSCLink"/>
            <w:rFonts w:ascii="Georgia" w:hAnsi="Georgia" w:eastAsia="Georgia" w:cs="Georgia"/>
            <w:color w:val="825F1F"/>
            <w:u w:val="single"/>
          </w:rPr>
          <w:t>Art Institute’s history of the three paintings</w:t>
        </w:r>
      </w:hyperlink>
      <w:r>
        <w:rPr>
          <w:b w:val="0"/>
          <w:i w:val="0"/>
        </w:rPr>
        <w:t xml:space="preserve"> makes their purposes unusually clear. The second was not a rejected rough attempt. It preserved a composition Van Gogh valued before the first underwent treatment. The smaller third version carried that composition into a family home and served as evidence of his progress. Scale, intended recipient, wall pictures, colour, and handling change, but no single version simply cancels the others. Each is an original object produced for a different moment.</w:t>
      </w:r>
    </w:p>
    <w:p>
      <w:pPr/>
      <w:r>
        <w:rPr>
          <w:b w:val="0"/>
          <w:i w:val="0"/>
        </w:rPr>
        <w:t>This case also warns against assuming that every colour difference records an artistic decision. Paint chemistry, fading, damage, conservation, photography, and screen settings affect what a viewer sees today. Letters, measurements, technical examination, and provenance help separate a change Van Gogh made from a change time made to Van Gogh.</w:t>
      </w:r>
    </w:p>
    <w:p>
      <w:pPr>
        <w:pStyle w:val="Heading2"/>
      </w:pPr>
      <w:r>
        <w:rPr>
          <w:b w:val="0"/>
          <w:i w:val="0"/>
        </w:rPr>
        <w:t xml:space="preserve">From </w:t>
      </w:r>
      <w:r>
        <w:rPr>
          <w:b w:val="0"/>
          <w:i/>
        </w:rPr>
        <w:t>Despair</w:t>
      </w:r>
      <w:r>
        <w:rPr>
          <w:b w:val="0"/>
          <w:i w:val="0"/>
        </w:rPr>
        <w:t xml:space="preserve"> to </w:t>
      </w:r>
      <w:r>
        <w:rPr>
          <w:b w:val="0"/>
          <w:i/>
        </w:rPr>
        <w:t>The Scream</w:t>
      </w:r>
      <w:r>
        <w:rPr>
          <w:b w:val="0"/>
          <w:i w:val="0"/>
        </w:rPr>
        <w:t>: changing the emotional subject</w:t>
      </w:r>
    </w:p>
    <w:p>
      <w:pPr/>
      <w:r>
        <w:rPr>
          <w:b w:val="0"/>
          <w:i w:val="0"/>
        </w:rPr>
        <w:t xml:space="preserve">Edvard Munch’s </w:t>
      </w:r>
      <w:hyperlink r:id="rId21">
        <w:r>
          <w:rPr>
            <w:rStyle w:val="WSCLink"/>
            <w:rFonts w:ascii="Georgia" w:hAnsi="Georgia" w:eastAsia="Georgia" w:cs="Georgia"/>
            <w:color w:val="825F1F"/>
            <w:u w:val="single"/>
            <w:i/>
          </w:rPr>
          <w:t>Despair</w:t>
        </w:r>
      </w:hyperlink>
      <w:hyperlink r:id="rId21">
        <w:r>
          <w:rPr>
            <w:rStyle w:val="WSCLink"/>
            <w:rFonts w:ascii="Georgia" w:hAnsi="Georgia" w:eastAsia="Georgia" w:cs="Georgia"/>
            <w:color w:val="825F1F"/>
            <w:u w:val="single"/>
          </w:rPr>
          <w:t xml:space="preserve"> of 1892 (L054)</w:t>
        </w:r>
      </w:hyperlink>
      <w:r>
        <w:rPr>
          <w:b w:val="0"/>
          <w:i w:val="0"/>
        </w:rPr>
        <w:t xml:space="preserve"> and the National Museum’s </w:t>
      </w:r>
      <w:hyperlink r:id="rId22">
        <w:r>
          <w:rPr>
            <w:rStyle w:val="WSCLink"/>
            <w:rFonts w:ascii="Georgia" w:hAnsi="Georgia" w:eastAsia="Georgia" w:cs="Georgia"/>
            <w:color w:val="825F1F"/>
            <w:u w:val="single"/>
            <w:i/>
          </w:rPr>
          <w:t>The Scream</w:t>
        </w:r>
      </w:hyperlink>
      <w:hyperlink r:id="rId22">
        <w:r>
          <w:rPr>
            <w:rStyle w:val="WSCLink"/>
            <w:rFonts w:ascii="Georgia" w:hAnsi="Georgia" w:eastAsia="Georgia" w:cs="Georgia"/>
            <w:color w:val="825F1F"/>
            <w:u w:val="single"/>
          </w:rPr>
          <w:t xml:space="preserve"> of 1893 (L055)</w:t>
        </w:r>
      </w:hyperlink>
      <w:r>
        <w:rPr>
          <w:b w:val="0"/>
          <w:i w:val="0"/>
        </w:rPr>
        <w:t xml:space="preserve"> preserve much of the same setting. A diagonal railing cuts into the scene. Two figures continue along the path. The fjord and blood-red sky remain. Yet the meaning changes because the foreground person changes.</w:t>
      </w:r>
    </w:p>
    <w:p>
      <w:pPr/>
      <w:r>
        <w:rPr>
          <w:b w:val="0"/>
          <w:i w:val="0"/>
        </w:rPr>
        <w:t xml:space="preserve">In </w:t>
      </w:r>
      <w:r>
        <w:rPr>
          <w:b w:val="0"/>
          <w:i/>
        </w:rPr>
        <w:t>Despair</w:t>
      </w:r>
      <w:r>
        <w:rPr>
          <w:b w:val="0"/>
          <w:i w:val="0"/>
        </w:rPr>
        <w:t xml:space="preserve">, the figure is a recognizable man shown in profile, leaning into the view. In </w:t>
      </w:r>
      <w:r>
        <w:rPr>
          <w:b w:val="0"/>
          <w:i/>
        </w:rPr>
        <w:t>The Scream</w:t>
      </w:r>
      <w:r>
        <w:rPr>
          <w:b w:val="0"/>
          <w:i w:val="0"/>
        </w:rPr>
        <w:t xml:space="preserve">, the figure turns toward the viewer and becomes difficult to classify by age or gender. The face resembles a skull, mask, or vibrating signal. Curves in the body echo the curves of sky and landscape while the straight railing drives away into depth. According to the </w:t>
      </w:r>
      <w:hyperlink r:id="rId22">
        <w:r>
          <w:rPr>
            <w:rStyle w:val="WSCLink"/>
            <w:rFonts w:ascii="Georgia" w:hAnsi="Georgia" w:eastAsia="Georgia" w:cs="Georgia"/>
            <w:color w:val="825F1F"/>
            <w:u w:val="single"/>
          </w:rPr>
          <w:t>National Museum’s account</w:t>
        </w:r>
      </w:hyperlink>
      <w:r>
        <w:rPr>
          <w:b w:val="0"/>
          <w:i w:val="0"/>
        </w:rPr>
        <w:t>, this transformation makes the later image more confrontational and universal. Munch did not merely clean up a composition. He changed the carrier of the emotion, then made line, colour, figure, and landscape share the same anxiety.</w:t>
      </w:r>
    </w:p>
    <w:p>
      <w:pPr/>
      <w:r>
        <w:rPr>
          <w:b w:val="0"/>
          <w:i w:val="0"/>
        </w:rPr>
        <w:t>This is revision at its most consequential. Most objects remain in place, but one structural decision changes how the whole work addresses its viewer. A good comparison should therefore move beyond saying that the later work is more dramatic. It should identify the frontal, ambiguous figure and explain why that decision turns one person’s despair into an image many viewers can enter.</w:t>
      </w:r>
    </w:p>
    <w:p>
      <w:pPr>
        <w:pStyle w:val="Heading2"/>
      </w:pPr>
      <w:r>
        <w:rPr>
          <w:b w:val="0"/>
          <w:i w:val="0"/>
        </w:rPr>
        <w:t>Matisse’s two dances: completion through concentration</w:t>
      </w:r>
    </w:p>
    <w:p>
      <w:pPr/>
      <w:r>
        <w:rPr>
          <w:b w:val="0"/>
          <w:i w:val="0"/>
        </w:rPr>
        <w:t xml:space="preserve">Henri Matisse made </w:t>
      </w:r>
      <w:hyperlink r:id="rId23">
        <w:r>
          <w:rPr>
            <w:rStyle w:val="WSCLink"/>
            <w:rFonts w:ascii="Georgia" w:hAnsi="Georgia" w:eastAsia="Georgia" w:cs="Georgia"/>
            <w:color w:val="825F1F"/>
            <w:u w:val="single"/>
            <w:i/>
          </w:rPr>
          <w:t>Dance (I)</w:t>
        </w:r>
      </w:hyperlink>
      <w:hyperlink r:id="rId23">
        <w:r>
          <w:rPr>
            <w:rStyle w:val="WSCLink"/>
            <w:rFonts w:ascii="Georgia" w:hAnsi="Georgia" w:eastAsia="Georgia" w:cs="Georgia"/>
            <w:color w:val="825F1F"/>
            <w:u w:val="single"/>
          </w:rPr>
          <w:t xml:space="preserve"> in 1909 (L056)</w:t>
        </w:r>
      </w:hyperlink>
      <w:r>
        <w:rPr>
          <w:b w:val="0"/>
          <w:i w:val="0"/>
        </w:rPr>
        <w:t xml:space="preserve"> as a compositional study for a large decorative panel commissioned by the Russian collector Sergei Shchukin. Five nude figures form a ring across broad fields of land and sky. Perspective is radically reduced. Bodies are simplified, and the open circle seems close to breaking where two hands struggle to meet.</w:t>
      </w:r>
    </w:p>
    <w:p>
      <w:pPr/>
      <w:r>
        <w:rPr>
          <w:b w:val="0"/>
          <w:i w:val="0"/>
        </w:rPr>
        <w:t xml:space="preserve">The final </w:t>
      </w:r>
      <w:hyperlink r:id="rId24">
        <w:r>
          <w:rPr>
            <w:rStyle w:val="WSCLink"/>
            <w:rFonts w:ascii="Georgia" w:hAnsi="Georgia" w:eastAsia="Georgia" w:cs="Georgia"/>
            <w:color w:val="825F1F"/>
            <w:u w:val="single"/>
            <w:i/>
          </w:rPr>
          <w:t>Dance (II)</w:t>
        </w:r>
      </w:hyperlink>
      <w:hyperlink r:id="rId24">
        <w:r>
          <w:rPr>
            <w:rStyle w:val="WSCLink"/>
            <w:rFonts w:ascii="Georgia" w:hAnsi="Georgia" w:eastAsia="Georgia" w:cs="Georgia"/>
            <w:color w:val="825F1F"/>
            <w:u w:val="single"/>
          </w:rPr>
          <w:t xml:space="preserve"> of 1910 (L057)</w:t>
        </w:r>
      </w:hyperlink>
      <w:r>
        <w:rPr>
          <w:b w:val="0"/>
          <w:i w:val="0"/>
        </w:rPr>
        <w:t xml:space="preserve"> keeps the central structure but intensifies it. The bodies become a stronger red against darker blue and green. Contours and poses carry more weight, and the circle feels more forceful. The </w:t>
      </w:r>
      <w:hyperlink r:id="rId25">
        <w:r>
          <w:rPr>
            <w:rStyle w:val="WSCLink"/>
            <w:rFonts w:ascii="Georgia" w:hAnsi="Georgia" w:eastAsia="Georgia" w:cs="Georgia"/>
            <w:color w:val="825F1F"/>
            <w:u w:val="single"/>
          </w:rPr>
          <w:t>State Hermitage, which holds the final panel</w:t>
        </w:r>
      </w:hyperlink>
      <w:r>
        <w:rPr>
          <w:b w:val="0"/>
          <w:i w:val="0"/>
        </w:rPr>
        <w:t>, confirms the Shchukin commission and dates the work to 1909-1910. MoMA describes the first painting as a rapidly made study for that commission and notes that Matisse valued the “life and rhythm” produced by simplification. The later painting does not become finished by accumulating realistic detail. It becomes finished by committing more fully to line, colour, scale, and rhythm.</w:t>
      </w:r>
    </w:p>
    <w:p>
      <w:pPr/>
      <w:r>
        <w:rPr>
          <w:b w:val="0"/>
          <w:i w:val="0"/>
        </w:rPr>
        <w:t>Together, the four official art cases prevent one easy theory of revision. The Mona Lisa pair raises an attribution problem. Van Gogh repeats a valued composition for conservation and family purposes. Munch transforms the emotional subject of a motif. Matisse concentrates a study into a commissioned panel. “Draft” is therefore a family of relationships, not one neat stage that every artwork passes through.</w:t>
      </w:r>
    </w:p>
    <w:p>
      <w:pPr>
        <w:pStyle w:val="WSCSourceNote"/>
        <w:shd w:fill="F7EACC" w:val="clear"/>
        <w:pBdr>
          <w:left w:val="single" w:sz="14" w:space="6" w:color="C89C44"/>
        </w:pBdr>
      </w:pPr>
      <w:r>
        <w:rPr>
          <w:b/>
          <w:i w:val="0"/>
        </w:rPr>
        <w:t>Sources for this chapter:</w:t>
      </w:r>
      <w:r>
        <w:rPr>
          <w:b w:val="0"/>
          <w:i w:val="0"/>
        </w:rPr>
        <w:t xml:space="preserve"> official curriculum links </w:t>
      </w:r>
      <w:hyperlink r:id="rId12">
        <w:r>
          <w:rPr>
            <w:rStyle w:val="WSCLink"/>
            <w:rFonts w:ascii="Georgia" w:hAnsi="Georgia" w:eastAsia="Georgia" w:cs="Georgia"/>
            <w:color w:val="825F1F"/>
            <w:u w:val="single"/>
          </w:rPr>
          <w:t>L049</w:t>
        </w:r>
      </w:hyperlink>
      <w:r>
        <w:rPr>
          <w:b w:val="0"/>
          <w:i w:val="0"/>
        </w:rPr>
        <w:t xml:space="preserve"> through </w:t>
      </w:r>
      <w:hyperlink r:id="rId24">
        <w:r>
          <w:rPr>
            <w:rStyle w:val="WSCLink"/>
            <w:rFonts w:ascii="Georgia" w:hAnsi="Georgia" w:eastAsia="Georgia" w:cs="Georgia"/>
            <w:color w:val="825F1F"/>
            <w:u w:val="single"/>
          </w:rPr>
          <w:t>L057</w:t>
        </w:r>
      </w:hyperlink>
      <w:r>
        <w:rPr>
          <w:b w:val="0"/>
          <w:i w:val="0"/>
        </w:rPr>
        <w:t xml:space="preserve">; the </w:t>
      </w:r>
      <w:hyperlink r:id="rId18">
        <w:r>
          <w:rPr>
            <w:rStyle w:val="WSCLink"/>
            <w:rFonts w:ascii="Georgia" w:hAnsi="Georgia" w:eastAsia="Georgia" w:cs="Georgia"/>
            <w:color w:val="825F1F"/>
            <w:u w:val="single"/>
          </w:rPr>
          <w:t>Art Institute of Chicago</w:t>
        </w:r>
      </w:hyperlink>
      <w:r>
        <w:rPr>
          <w:b w:val="0"/>
          <w:i w:val="0"/>
        </w:rPr>
        <w:t xml:space="preserve">; the </w:t>
      </w:r>
      <w:hyperlink r:id="rId22">
        <w:r>
          <w:rPr>
            <w:rStyle w:val="WSCLink"/>
            <w:rFonts w:ascii="Georgia" w:hAnsi="Georgia" w:eastAsia="Georgia" w:cs="Georgia"/>
            <w:color w:val="825F1F"/>
            <w:u w:val="single"/>
          </w:rPr>
          <w:t>National Museum of Norway</w:t>
        </w:r>
      </w:hyperlink>
      <w:r>
        <w:rPr>
          <w:b w:val="0"/>
          <w:i w:val="0"/>
        </w:rPr>
        <w:t xml:space="preserve">; </w:t>
      </w:r>
      <w:hyperlink r:id="rId26">
        <w:r>
          <w:rPr>
            <w:rStyle w:val="WSCLink"/>
            <w:rFonts w:ascii="Georgia" w:hAnsi="Georgia" w:eastAsia="Georgia" w:cs="Georgia"/>
            <w:color w:val="825F1F"/>
            <w:u w:val="single"/>
          </w:rPr>
          <w:t xml:space="preserve">MoMA on </w:t>
        </w:r>
      </w:hyperlink>
      <w:hyperlink r:id="rId26">
        <w:r>
          <w:rPr>
            <w:rStyle w:val="WSCLink"/>
            <w:rFonts w:ascii="Georgia" w:hAnsi="Georgia" w:eastAsia="Georgia" w:cs="Georgia"/>
            <w:color w:val="825F1F"/>
            <w:u w:val="single"/>
            <w:i/>
          </w:rPr>
          <w:t>Dance (I)</w:t>
        </w:r>
      </w:hyperlink>
      <w:r>
        <w:rPr>
          <w:b w:val="0"/>
          <w:i w:val="0"/>
        </w:rPr>
        <w:t xml:space="preserve">; the </w:t>
      </w:r>
      <w:hyperlink r:id="rId25">
        <w:r>
          <w:rPr>
            <w:rStyle w:val="WSCLink"/>
            <w:rFonts w:ascii="Georgia" w:hAnsi="Georgia" w:eastAsia="Georgia" w:cs="Georgia"/>
            <w:color w:val="825F1F"/>
            <w:u w:val="single"/>
          </w:rPr>
          <w:t xml:space="preserve">State Hermitage record for the final </w:t>
        </w:r>
      </w:hyperlink>
      <w:hyperlink r:id="rId25">
        <w:r>
          <w:rPr>
            <w:rStyle w:val="WSCLink"/>
            <w:rFonts w:ascii="Georgia" w:hAnsi="Georgia" w:eastAsia="Georgia" w:cs="Georgia"/>
            <w:color w:val="825F1F"/>
            <w:u w:val="single"/>
            <w:i/>
          </w:rPr>
          <w:t>Dance</w:t>
        </w:r>
      </w:hyperlink>
      <w:r>
        <w:rPr>
          <w:b w:val="0"/>
          <w:i w:val="0"/>
        </w:rPr>
        <w:t xml:space="preserve">; and the </w:t>
      </w:r>
      <w:hyperlink r:id="rId16">
        <w:r>
          <w:rPr>
            <w:rStyle w:val="WSCLink"/>
            <w:rFonts w:ascii="Georgia" w:hAnsi="Georgia" w:eastAsia="Georgia" w:cs="Georgia"/>
            <w:color w:val="825F1F"/>
            <w:u w:val="single"/>
          </w:rPr>
          <w:t>National Gallery on transfer techniques</w:t>
        </w:r>
      </w:hyperlink>
      <w:r>
        <w:rPr>
          <w:b w:val="0"/>
          <w:i w:val="0"/>
        </w:rPr>
        <w:t>.</w:t>
      </w:r>
    </w:p>
    <w:p>
      <w:pPr>
        <w:pStyle w:val="Heading1"/>
        <w:pageBreakBefore/>
        <w:pBdr>
          <w:bottom w:val="single" w:sz="9" w:space="5" w:color="C89C44"/>
        </w:pBdr>
      </w:pPr>
      <w:r>
        <w:rPr>
          <w:b w:val="0"/>
          <w:i w:val="0"/>
        </w:rPr>
        <w:t>Chapter 2 - Hearing a song while it is still becoming itself</w:t>
      </w:r>
    </w:p>
    <w:p>
      <w:pPr/>
      <w:r>
        <w:rPr>
          <w:b w:val="0"/>
          <w:i w:val="0"/>
        </w:rPr>
        <w:t>A musical demo is an early recording made to test or communicate a song. That definition covers very different objects. A songwriter may record a voice and instrument alone so an idea is not forgotten. A composer may send a work tape to a director. A performer may record a character song before the orchestration and staging are fixed. A film team may produce several polished demos because directors, producers, animators, and story departments need to judge how each version serves a scene.</w:t>
      </w:r>
    </w:p>
    <w:p>
      <w:pPr/>
      <w:r>
        <w:rPr>
          <w:b w:val="0"/>
          <w:i w:val="0"/>
        </w:rPr>
        <w:t>The audience for the demo matters. A private memo can leave gaps because its maker already knows what the gaps contain. A pitch demo needs enough clarity to persuade someone else. A theatre demo may use one singer for several characters because casting is not final. A film demo may sound release-ready while still carrying provisional lyrics, story information, or vocal assignments. “Demo” describes a function in a process, not a fixed level of sound quality.</w:t>
      </w:r>
    </w:p>
    <w:p>
      <w:pPr>
        <w:pStyle w:val="Heading2"/>
      </w:pPr>
      <w:r>
        <w:rPr>
          <w:b w:val="0"/>
          <w:i w:val="0"/>
        </w:rPr>
        <w:t>The decisions hidden inside “more done”</w:t>
      </w:r>
    </w:p>
    <w:p>
      <w:pPr/>
      <w:r>
        <w:rPr>
          <w:b w:val="0"/>
          <w:i w:val="0"/>
        </w:rPr>
        <w:t>When comparing a demo with a later recording, listen along several axes. Melody may rise, fall, repeat, or simplify. Lyrics may become more specific to a character or easier to understand on first hearing. The key and tempo may move. Sections can be shortened, reordered, or removed. Instrumentation can establish a period, genre, emotional temperature, or fictional world. A different voice can change age, authority, vulnerability, humour, and point of view. Production can add space and texture, but extra polish is useful only when it supports the song’s job.</w:t>
      </w:r>
    </w:p>
    <w:p>
      <w:pPr/>
      <w:r>
        <w:rPr>
          <w:b w:val="0"/>
          <w:i w:val="0"/>
        </w:rPr>
        <w:t>A song feels finished when its choices agree about purpose. A private confession does not need the same vocal scale as a climactic film anthem. A theatre number has to reveal or change something while the story keeps moving. A pop recording may reward repeated listening, while a musical scene often has to communicate its turn immediately. The official examples show four different routes toward that agreement.</w:t>
      </w:r>
    </w:p>
    <w:p>
      <w:pPr>
        <w:pStyle w:val="Heading2"/>
      </w:pPr>
      <w:r>
        <w:rPr>
          <w:b w:val="0"/>
          <w:i/>
        </w:rPr>
        <w:t>Strawberry Fields Forever</w:t>
      </w:r>
      <w:r>
        <w:rPr>
          <w:b w:val="0"/>
          <w:i w:val="0"/>
        </w:rPr>
        <w:t>: the studio as a revision instrument</w:t>
      </w:r>
    </w:p>
    <w:p>
      <w:pPr/>
      <w:r>
        <w:rPr>
          <w:b w:val="0"/>
          <w:i w:val="0"/>
        </w:rPr>
        <w:t xml:space="preserve">The </w:t>
      </w:r>
      <w:hyperlink r:id="rId27">
        <w:r>
          <w:rPr>
            <w:rStyle w:val="WSCLink"/>
            <w:rFonts w:ascii="Georgia" w:hAnsi="Georgia" w:eastAsia="Georgia" w:cs="Georgia"/>
            <w:color w:val="825F1F"/>
            <w:u w:val="single"/>
            <w:i/>
          </w:rPr>
          <w:t>Strawberry Fields Forever</w:t>
        </w:r>
      </w:hyperlink>
      <w:hyperlink r:id="rId27">
        <w:r>
          <w:rPr>
            <w:rStyle w:val="WSCLink"/>
            <w:rFonts w:ascii="Georgia" w:hAnsi="Georgia" w:eastAsia="Georgia" w:cs="Georgia"/>
            <w:color w:val="825F1F"/>
            <w:u w:val="single"/>
          </w:rPr>
          <w:t xml:space="preserve"> home demo sequence (L058)</w:t>
        </w:r>
      </w:hyperlink>
      <w:r>
        <w:rPr>
          <w:b w:val="0"/>
          <w:i w:val="0"/>
        </w:rPr>
        <w:t xml:space="preserve"> lets us hear John Lennon alone with a composition before the familiar recording acquired its dense, unstable atmosphere. The Beatles’ own archive dates the home sequence to November 1966, after Lennon returned from filming in Spain and before the group began recording at EMI on 24 November. The early recording is intimate and provisional. Repeated passes allow melody, words, pacing, and accompaniment to settle through use.</w:t>
      </w:r>
    </w:p>
    <w:p>
      <w:pPr/>
      <w:r>
        <w:rPr>
          <w:b w:val="0"/>
          <w:i w:val="0"/>
        </w:rPr>
        <w:t xml:space="preserve">The later studio process did more than decorate the demo. The Beatles developed two substantially different recorded versions. Lennon preferred the beginning of one and the ending of the other. As </w:t>
      </w:r>
      <w:hyperlink r:id="rId28">
        <w:r>
          <w:rPr>
            <w:rStyle w:val="WSCLink"/>
            <w:rFonts w:ascii="Georgia" w:hAnsi="Georgia" w:eastAsia="Georgia" w:cs="Georgia"/>
            <w:color w:val="825F1F"/>
            <w:u w:val="single"/>
          </w:rPr>
          <w:t>the band’s official history</w:t>
        </w:r>
      </w:hyperlink>
      <w:r>
        <w:rPr>
          <w:b w:val="0"/>
          <w:i w:val="0"/>
        </w:rPr>
        <w:t xml:space="preserve"> explains, George Martin joined them even though they had been recorded in different keys. Tape speed helped bring the performances into a shared pitch and tempo while producing part of the final recording’s unusual character.</w:t>
      </w:r>
    </w:p>
    <w:p>
      <w:pPr/>
      <w:r>
        <w:rPr>
          <w:b w:val="0"/>
          <w:i w:val="0"/>
        </w:rPr>
        <w:t>This is a strong answer to the curriculum’s question about what makes a song feel “done.” The finished track does not simply execute a complete plan already present in the home demo. Recording creates new possibilities, and an engineering solution becomes an artistic feature. The route from demo to master is collaborative: composition, performance, arrangement, technology, and editing all participate in authorship.</w:t>
      </w:r>
    </w:p>
    <w:p>
      <w:pPr>
        <w:pStyle w:val="Heading2"/>
      </w:pPr>
      <w:r>
        <w:rPr>
          <w:b w:val="0"/>
          <w:i/>
        </w:rPr>
        <w:t>This One’s Mine</w:t>
      </w:r>
      <w:r>
        <w:rPr>
          <w:b w:val="0"/>
          <w:i w:val="0"/>
        </w:rPr>
        <w:t>: replacing the dramatic idea</w:t>
      </w:r>
    </w:p>
    <w:p>
      <w:pPr/>
      <w:r>
        <w:rPr>
          <w:b w:val="0"/>
          <w:i w:val="0"/>
        </w:rPr>
        <w:t xml:space="preserve">Lin-Manuel Miranda’s </w:t>
      </w:r>
      <w:hyperlink r:id="rId29">
        <w:r>
          <w:rPr>
            <w:rStyle w:val="WSCLink"/>
            <w:rFonts w:ascii="Georgia" w:hAnsi="Georgia" w:eastAsia="Georgia" w:cs="Georgia"/>
            <w:color w:val="825F1F"/>
            <w:u w:val="single"/>
            <w:i/>
          </w:rPr>
          <w:t>This One’s Mine</w:t>
        </w:r>
      </w:hyperlink>
      <w:hyperlink r:id="rId29">
        <w:r>
          <w:rPr>
            <w:rStyle w:val="WSCLink"/>
            <w:rFonts w:ascii="Georgia" w:hAnsi="Georgia" w:eastAsia="Georgia" w:cs="Georgia"/>
            <w:color w:val="825F1F"/>
            <w:u w:val="single"/>
          </w:rPr>
          <w:t xml:space="preserve"> (L059)</w:t>
        </w:r>
      </w:hyperlink>
      <w:r>
        <w:rPr>
          <w:b w:val="0"/>
          <w:i w:val="0"/>
        </w:rPr>
        <w:t xml:space="preserve"> is identified as a first draft on the route toward </w:t>
      </w:r>
      <w:r>
        <w:rPr>
          <w:b w:val="0"/>
          <w:i/>
        </w:rPr>
        <w:t>Helpless</w:t>
      </w:r>
      <w:r>
        <w:rPr>
          <w:b w:val="0"/>
          <w:i w:val="0"/>
        </w:rPr>
        <w:t xml:space="preserve"> in </w:t>
      </w:r>
      <w:r>
        <w:rPr>
          <w:b w:val="0"/>
          <w:i/>
        </w:rPr>
        <w:t>Hamilton</w:t>
      </w:r>
      <w:r>
        <w:rPr>
          <w:b w:val="0"/>
          <w:i w:val="0"/>
        </w:rPr>
        <w:t>. The important comparison is not which tune a listener prefers. Both songs attempt to give Eliza Schuyler a love story inside a crowded historical musical, but they organize her perspective differently.</w:t>
      </w:r>
    </w:p>
    <w:p>
      <w:pPr/>
      <w:r>
        <w:rPr>
          <w:b w:val="0"/>
          <w:i w:val="0"/>
        </w:rPr>
        <w:t xml:space="preserve">Miranda later described spending a day on the different Eliza song, playing it for his wife, and returning to write </w:t>
      </w:r>
      <w:r>
        <w:rPr>
          <w:b w:val="0"/>
          <w:i/>
        </w:rPr>
        <w:t>Helpless</w:t>
      </w:r>
      <w:r>
        <w:rPr>
          <w:b w:val="0"/>
          <w:i w:val="0"/>
        </w:rPr>
        <w:t xml:space="preserve">. That account, preserved in the </w:t>
      </w:r>
      <w:hyperlink r:id="rId30">
        <w:r>
          <w:rPr>
            <w:rStyle w:val="WSCLink"/>
            <w:rFonts w:ascii="Georgia" w:hAnsi="Georgia" w:eastAsia="Georgia" w:cs="Georgia"/>
            <w:color w:val="825F1F"/>
            <w:u w:val="single"/>
          </w:rPr>
          <w:t>Lin-Manuel Miranda social-media archive</w:t>
        </w:r>
      </w:hyperlink>
      <w:r>
        <w:rPr>
          <w:b w:val="0"/>
          <w:i w:val="0"/>
        </w:rPr>
        <w:t>, shows feedback doing its real work. Feedback did not polish a weak rhyme while protecting everything else. It revealed that the scene needed a different central idea. The later song carries fragments of the same dramatic situation but rebuilds the route through it.</w:t>
      </w:r>
    </w:p>
    <w:p>
      <w:pPr/>
      <w:r>
        <w:rPr>
          <w:b w:val="0"/>
          <w:i w:val="0"/>
        </w:rPr>
        <w:t>This example also shows why creators need enough distance to discard work they have completed. Time spent on a demo is a sunk cost. Keeping it only because it took a day would make the larger musical serve the draft instead of letting the draft serve the musical.</w:t>
      </w:r>
    </w:p>
    <w:p>
      <w:pPr>
        <w:pStyle w:val="Heading2"/>
      </w:pPr>
      <w:r>
        <w:rPr>
          <w:b w:val="0"/>
          <w:i/>
        </w:rPr>
        <w:t>Dead Mom</w:t>
      </w:r>
      <w:r>
        <w:rPr>
          <w:b w:val="0"/>
          <w:i w:val="0"/>
        </w:rPr>
        <w:t>: when a demo is already a performance</w:t>
      </w:r>
    </w:p>
    <w:p>
      <w:pPr/>
      <w:r>
        <w:rPr>
          <w:b w:val="0"/>
          <w:i w:val="0"/>
        </w:rPr>
        <w:t xml:space="preserve">The curriculum’s </w:t>
      </w:r>
      <w:hyperlink r:id="rId31">
        <w:r>
          <w:rPr>
            <w:rStyle w:val="WSCLink"/>
            <w:rFonts w:ascii="Georgia" w:hAnsi="Georgia" w:eastAsia="Georgia" w:cs="Georgia"/>
            <w:color w:val="825F1F"/>
            <w:u w:val="single"/>
            <w:i/>
          </w:rPr>
          <w:t>Dead Mom</w:t>
        </w:r>
      </w:hyperlink>
      <w:hyperlink r:id="rId31">
        <w:r>
          <w:rPr>
            <w:rStyle w:val="WSCLink"/>
            <w:rFonts w:ascii="Georgia" w:hAnsi="Georgia" w:eastAsia="Georgia" w:cs="Georgia"/>
            <w:color w:val="825F1F"/>
            <w:u w:val="single"/>
          </w:rPr>
          <w:t xml:space="preserve"> demo (L060)</w:t>
        </w:r>
      </w:hyperlink>
      <w:r>
        <w:rPr>
          <w:b w:val="0"/>
          <w:i w:val="0"/>
        </w:rPr>
        <w:t xml:space="preserve"> features Sophia Anne Caruso, who originated Lydia in the Broadway musical </w:t>
      </w:r>
      <w:r>
        <w:rPr>
          <w:b w:val="0"/>
          <w:i/>
        </w:rPr>
        <w:t>Beetlejuice</w:t>
      </w:r>
      <w:r>
        <w:rPr>
          <w:b w:val="0"/>
          <w:i w:val="0"/>
        </w:rPr>
        <w:t>. Lydia’s mother’s death drives her fascination with the afterlife and her anger at a family that seems eager to move on. The song therefore has a precise dramatic job: it establishes grief as action rather than background information.</w:t>
      </w:r>
    </w:p>
    <w:p>
      <w:pPr/>
      <w:r>
        <w:rPr>
          <w:b w:val="0"/>
          <w:i w:val="0"/>
        </w:rPr>
        <w:t>This source complicates the image of a demo as a scratchy first recording. Caruso gives a fully committed character performance, and the video was used to introduce audiences to the number around the Broadway production. A live stage performance adds placement in the show, live orchestration, design, movement, and the pressure of what happens immediately before and after. “More done” here means more fully embedded in a dramatic system, not necessarily more emotionally intense than the recording.</w:t>
      </w:r>
    </w:p>
    <w:p>
      <w:pPr/>
      <w:r>
        <w:rPr>
          <w:b w:val="0"/>
          <w:i w:val="0"/>
        </w:rPr>
        <w:t>The comparison should focus on context as well as sound. A student can ask which vocal choices establish Lydia’s age and anger, how accompaniment leaves room for the words, and what staging might reveal that audio alone cannot. The answer need not pretend that every difference is an improvement. A demo can preserve an intimacy that a large theatre must translate by other means.</w:t>
      </w:r>
    </w:p>
    <w:p>
      <w:pPr>
        <w:pStyle w:val="Heading2"/>
      </w:pPr>
      <w:r>
        <w:rPr>
          <w:b w:val="0"/>
          <w:i/>
        </w:rPr>
        <w:t>Golden</w:t>
      </w:r>
      <w:r>
        <w:rPr>
          <w:b w:val="0"/>
          <w:i w:val="0"/>
        </w:rPr>
        <w:t>: drafting for story, character, and a production pipeline</w:t>
      </w:r>
    </w:p>
    <w:p>
      <w:pPr/>
      <w:r>
        <w:rPr>
          <w:b w:val="0"/>
          <w:i w:val="0"/>
        </w:rPr>
        <w:t xml:space="preserve">The </w:t>
      </w:r>
      <w:hyperlink r:id="rId32">
        <w:r>
          <w:rPr>
            <w:rStyle w:val="WSCLink"/>
            <w:rFonts w:ascii="Georgia" w:hAnsi="Georgia" w:eastAsia="Georgia" w:cs="Georgia"/>
            <w:color w:val="825F1F"/>
            <w:u w:val="single"/>
            <w:i/>
          </w:rPr>
          <w:t>Golden</w:t>
        </w:r>
      </w:hyperlink>
      <w:hyperlink r:id="rId32">
        <w:r>
          <w:rPr>
            <w:rStyle w:val="WSCLink"/>
            <w:rFonts w:ascii="Georgia" w:hAnsi="Georgia" w:eastAsia="Georgia" w:cs="Georgia"/>
            <w:color w:val="825F1F"/>
            <w:u w:val="single"/>
          </w:rPr>
          <w:t xml:space="preserve"> process video (L061)</w:t>
        </w:r>
      </w:hyperlink>
      <w:r>
        <w:rPr>
          <w:b w:val="0"/>
          <w:i w:val="0"/>
        </w:rPr>
        <w:t xml:space="preserve"> follows EJAE and Mark Sonnenblick through demos for the song in </w:t>
      </w:r>
      <w:r>
        <w:rPr>
          <w:b w:val="0"/>
          <w:i/>
        </w:rPr>
        <w:t>KPop Demon Hunters</w:t>
      </w:r>
      <w:r>
        <w:rPr>
          <w:b w:val="0"/>
          <w:i w:val="0"/>
        </w:rPr>
        <w:t>. Unlike a private home tape, this song belongs to a film pipeline. The co-directors knew the dramatic slot and supplied story requirements. The song had to express Rumi’s hope of sealing the Honmoon, carry information about the trio, display a voice whose high range matters to the plot, and leave room for the later failure of that voice.</w:t>
      </w:r>
    </w:p>
    <w:p>
      <w:pPr/>
      <w:r>
        <w:rPr>
          <w:b w:val="0"/>
          <w:i w:val="0"/>
        </w:rPr>
        <w:t xml:space="preserve">In the </w:t>
      </w:r>
      <w:hyperlink r:id="rId33">
        <w:r>
          <w:rPr>
            <w:rStyle w:val="WSCLink"/>
            <w:rFonts w:ascii="Georgia" w:hAnsi="Georgia" w:eastAsia="Georgia" w:cs="Georgia"/>
            <w:color w:val="825F1F"/>
            <w:u w:val="single"/>
          </w:rPr>
          <w:t>Vanity Fair process breakdown</w:t>
        </w:r>
      </w:hyperlink>
      <w:r>
        <w:rPr>
          <w:b w:val="0"/>
          <w:i w:val="0"/>
        </w:rPr>
        <w:t>, the writers play fragments of provisional melodies and lyrics, then explain how story notes narrowed the options. EJAE’s own experience of pressure and interrupted ambition informed the bittersweet quality she heard in the track. Personal feeling entered the song, but it still had to become legible as Rumi’s feeling inside a shared screenplay.</w:t>
      </w:r>
    </w:p>
    <w:p>
      <w:pPr/>
      <w:r>
        <w:rPr>
          <w:b w:val="0"/>
          <w:i w:val="0"/>
        </w:rPr>
        <w:t xml:space="preserve">The final recording combines songwriting with character assignment, bilingual phrasing, production, editing, animation timing, and approval across teams. By March 2026, </w:t>
      </w:r>
      <w:r>
        <w:rPr>
          <w:b w:val="0"/>
          <w:i/>
        </w:rPr>
        <w:t>Golden</w:t>
      </w:r>
      <w:r>
        <w:rPr>
          <w:b w:val="0"/>
          <w:i w:val="0"/>
        </w:rPr>
        <w:t xml:space="preserve"> had won the Academy Award for best original song. That later success can make the released version seem inevitable. The demos restore contingency. They show that many plausible melodies and verbal routes existed before the team selected the one that best carried the scene.</w:t>
      </w:r>
    </w:p>
    <w:p>
      <w:pPr/>
      <w:r>
        <w:rPr>
          <w:b w:val="0"/>
          <w:i w:val="0"/>
        </w:rPr>
        <w:t xml:space="preserve">Across all four examples, completion is a relationship between form and purpose. The Beatles use the recording studio to discover the final object. Miranda replaces a dramatic approach. </w:t>
      </w:r>
      <w:r>
        <w:rPr>
          <w:b w:val="0"/>
          <w:i/>
        </w:rPr>
        <w:t>Dead Mom</w:t>
      </w:r>
      <w:r>
        <w:rPr>
          <w:b w:val="0"/>
          <w:i w:val="0"/>
        </w:rPr>
        <w:t xml:space="preserve"> moves from a recorded performance into a stage system. </w:t>
      </w:r>
      <w:r>
        <w:rPr>
          <w:b w:val="0"/>
          <w:i/>
        </w:rPr>
        <w:t>Golden</w:t>
      </w:r>
      <w:r>
        <w:rPr>
          <w:b w:val="0"/>
          <w:i w:val="0"/>
        </w:rPr>
        <w:t xml:space="preserve"> coordinates song, character, film story, and production. More instruments, cleaner sound, or a famous singer can make a recording expensive without making it right.</w:t>
      </w:r>
    </w:p>
    <w:p>
      <w:pPr>
        <w:pStyle w:val="WSCSourceNote"/>
        <w:shd w:fill="F7EACC" w:val="clear"/>
        <w:pBdr>
          <w:left w:val="single" w:sz="14" w:space="6" w:color="C89C44"/>
        </w:pBdr>
      </w:pPr>
      <w:r>
        <w:rPr>
          <w:b/>
          <w:i w:val="0"/>
        </w:rPr>
        <w:t>Sources for this chapter:</w:t>
      </w:r>
      <w:r>
        <w:rPr>
          <w:b w:val="0"/>
          <w:i w:val="0"/>
        </w:rPr>
        <w:t xml:space="preserve"> official curriculum recordings </w:t>
      </w:r>
      <w:hyperlink r:id="rId27">
        <w:r>
          <w:rPr>
            <w:rStyle w:val="WSCLink"/>
            <w:rFonts w:ascii="Georgia" w:hAnsi="Georgia" w:eastAsia="Georgia" w:cs="Georgia"/>
            <w:color w:val="825F1F"/>
            <w:u w:val="single"/>
          </w:rPr>
          <w:t>L058</w:t>
        </w:r>
      </w:hyperlink>
      <w:r>
        <w:rPr>
          <w:b w:val="0"/>
          <w:i w:val="0"/>
        </w:rPr>
        <w:t xml:space="preserve">, </w:t>
      </w:r>
      <w:hyperlink r:id="rId29">
        <w:r>
          <w:rPr>
            <w:rStyle w:val="WSCLink"/>
            <w:rFonts w:ascii="Georgia" w:hAnsi="Georgia" w:eastAsia="Georgia" w:cs="Georgia"/>
            <w:color w:val="825F1F"/>
            <w:u w:val="single"/>
          </w:rPr>
          <w:t>L059</w:t>
        </w:r>
      </w:hyperlink>
      <w:r>
        <w:rPr>
          <w:b w:val="0"/>
          <w:i w:val="0"/>
        </w:rPr>
        <w:t xml:space="preserve">, </w:t>
      </w:r>
      <w:hyperlink r:id="rId31">
        <w:r>
          <w:rPr>
            <w:rStyle w:val="WSCLink"/>
            <w:rFonts w:ascii="Georgia" w:hAnsi="Georgia" w:eastAsia="Georgia" w:cs="Georgia"/>
            <w:color w:val="825F1F"/>
            <w:u w:val="single"/>
          </w:rPr>
          <w:t>L060</w:t>
        </w:r>
      </w:hyperlink>
      <w:r>
        <w:rPr>
          <w:b w:val="0"/>
          <w:i w:val="0"/>
        </w:rPr>
        <w:t xml:space="preserve">, and </w:t>
      </w:r>
      <w:hyperlink r:id="rId32">
        <w:r>
          <w:rPr>
            <w:rStyle w:val="WSCLink"/>
            <w:rFonts w:ascii="Georgia" w:hAnsi="Georgia" w:eastAsia="Georgia" w:cs="Georgia"/>
            <w:color w:val="825F1F"/>
            <w:u w:val="single"/>
          </w:rPr>
          <w:t>L061</w:t>
        </w:r>
      </w:hyperlink>
      <w:r>
        <w:rPr>
          <w:b w:val="0"/>
          <w:i w:val="0"/>
        </w:rPr>
        <w:t xml:space="preserve">; </w:t>
      </w:r>
      <w:hyperlink r:id="rId34">
        <w:r>
          <w:rPr>
            <w:rStyle w:val="WSCLink"/>
            <w:rFonts w:ascii="Georgia" w:hAnsi="Georgia" w:eastAsia="Georgia" w:cs="Georgia"/>
            <w:color w:val="825F1F"/>
            <w:u w:val="single"/>
          </w:rPr>
          <w:t>The Beatles Anthology</w:t>
        </w:r>
      </w:hyperlink>
      <w:r>
        <w:rPr>
          <w:b w:val="0"/>
          <w:i w:val="0"/>
        </w:rPr>
        <w:t xml:space="preserve">; </w:t>
      </w:r>
      <w:hyperlink r:id="rId35">
        <w:r>
          <w:rPr>
            <w:rStyle w:val="WSCLink"/>
            <w:rFonts w:ascii="Georgia" w:hAnsi="Georgia" w:eastAsia="Georgia" w:cs="Georgia"/>
            <w:color w:val="825F1F"/>
            <w:u w:val="single"/>
          </w:rPr>
          <w:t xml:space="preserve">Playbill on </w:t>
        </w:r>
      </w:hyperlink>
      <w:hyperlink r:id="rId35">
        <w:r>
          <w:rPr>
            <w:rStyle w:val="WSCLink"/>
            <w:rFonts w:ascii="Georgia" w:hAnsi="Georgia" w:eastAsia="Georgia" w:cs="Georgia"/>
            <w:color w:val="825F1F"/>
            <w:u w:val="single"/>
            <w:i/>
          </w:rPr>
          <w:t>Dead Mom</w:t>
        </w:r>
      </w:hyperlink>
      <w:r>
        <w:rPr>
          <w:b w:val="0"/>
          <w:i w:val="0"/>
        </w:rPr>
        <w:t xml:space="preserve">; the </w:t>
      </w:r>
      <w:hyperlink r:id="rId33">
        <w:r>
          <w:rPr>
            <w:rStyle w:val="WSCLink"/>
            <w:rFonts w:ascii="Georgia" w:hAnsi="Georgia" w:eastAsia="Georgia" w:cs="Georgia"/>
            <w:color w:val="825F1F"/>
            <w:u w:val="single"/>
          </w:rPr>
          <w:t>Vanity Fair process interview</w:t>
        </w:r>
      </w:hyperlink>
      <w:r>
        <w:rPr>
          <w:b w:val="0"/>
          <w:i w:val="0"/>
        </w:rPr>
        <w:t xml:space="preserve">; and the Academy’s </w:t>
      </w:r>
      <w:hyperlink r:id="rId36">
        <w:r>
          <w:rPr>
            <w:rStyle w:val="WSCLink"/>
            <w:rFonts w:ascii="Georgia" w:hAnsi="Georgia" w:eastAsia="Georgia" w:cs="Georgia"/>
            <w:color w:val="825F1F"/>
            <w:u w:val="single"/>
          </w:rPr>
          <w:t>official 2026 winner record</w:t>
        </w:r>
      </w:hyperlink>
      <w:r>
        <w:rPr>
          <w:b w:val="0"/>
          <w:i w:val="0"/>
        </w:rPr>
        <w:t xml:space="preserve"> for </w:t>
      </w:r>
      <w:r>
        <w:rPr>
          <w:b w:val="0"/>
          <w:i/>
        </w:rPr>
        <w:t>Golden</w:t>
      </w:r>
      <w:r>
        <w:rPr>
          <w:b w:val="0"/>
          <w:i w:val="0"/>
        </w:rPr>
        <w:t>.</w:t>
      </w:r>
    </w:p>
    <w:p>
      <w:pPr>
        <w:pStyle w:val="Heading1"/>
        <w:pageBreakBefore/>
        <w:pBdr>
          <w:bottom w:val="single" w:sz="9" w:space="5" w:color="C89C44"/>
        </w:pBdr>
      </w:pPr>
      <w:r>
        <w:rPr>
          <w:b w:val="0"/>
          <w:i w:val="0"/>
        </w:rPr>
        <w:t>Chapter 3 - The song that is finished but does not belong</w:t>
      </w:r>
    </w:p>
    <w:p>
      <w:pPr/>
      <w:r>
        <w:rPr>
          <w:b w:val="0"/>
          <w:i w:val="0"/>
        </w:rPr>
        <w:t>A cut song exposes a difficult truth about revision: quality is local, but a final work is a system. A melody can be memorable, a lyric can reveal character, and a performance can be moving while the number still damages pacing, repeats information, interrupts tone, or belongs to a version of the plot that no longer exists. Removing good material is sometimes the clearest sign that the creators understand the whole.</w:t>
      </w:r>
    </w:p>
    <w:p>
      <w:pPr/>
      <w:r>
        <w:rPr>
          <w:b w:val="0"/>
          <w:i w:val="0"/>
        </w:rPr>
        <w:t>Musical theatre gives every song a job. A number may introduce a desire, change a relationship, deliver information, create contrast, or move time forward. If a scene changes the same relationship more efficiently, the song may become redundant. If a character disappears, the song can lose its speaker. If an animated film’s structure is rebuilt after music has been written, a finished demo may remain attached to a story that the audience will never see.</w:t>
      </w:r>
    </w:p>
    <w:p>
      <w:pPr>
        <w:pStyle w:val="Heading2"/>
      </w:pPr>
      <w:r>
        <w:rPr>
          <w:b w:val="0"/>
          <w:i/>
        </w:rPr>
        <w:t>Count on Me</w:t>
      </w:r>
      <w:r>
        <w:rPr>
          <w:b w:val="0"/>
          <w:i w:val="0"/>
        </w:rPr>
        <w:t xml:space="preserve"> and the earlier shape of </w:t>
      </w:r>
      <w:r>
        <w:rPr>
          <w:b w:val="0"/>
          <w:i/>
        </w:rPr>
        <w:t>Aladdin</w:t>
      </w:r>
    </w:p>
    <w:p>
      <w:pPr/>
      <w:r>
        <w:rPr>
          <w:b w:val="0"/>
          <w:i w:val="0"/>
        </w:rPr>
        <w:t xml:space="preserve">The surviving demo of </w:t>
      </w:r>
      <w:hyperlink r:id="rId37">
        <w:r>
          <w:rPr>
            <w:rStyle w:val="WSCLink"/>
            <w:rFonts w:ascii="Georgia" w:hAnsi="Georgia" w:eastAsia="Georgia" w:cs="Georgia"/>
            <w:color w:val="825F1F"/>
            <w:u w:val="single"/>
            <w:i/>
          </w:rPr>
          <w:t>Count on Me</w:t>
        </w:r>
      </w:hyperlink>
      <w:hyperlink r:id="rId37">
        <w:r>
          <w:rPr>
            <w:rStyle w:val="WSCLink"/>
            <w:rFonts w:ascii="Georgia" w:hAnsi="Georgia" w:eastAsia="Georgia" w:cs="Georgia"/>
            <w:color w:val="825F1F"/>
            <w:u w:val="single"/>
          </w:rPr>
          <w:t xml:space="preserve"> from </w:t>
        </w:r>
      </w:hyperlink>
      <w:hyperlink r:id="rId37">
        <w:r>
          <w:rPr>
            <w:rStyle w:val="WSCLink"/>
            <w:rFonts w:ascii="Georgia" w:hAnsi="Georgia" w:eastAsia="Georgia" w:cs="Georgia"/>
            <w:color w:val="825F1F"/>
            <w:u w:val="single"/>
            <w:i/>
          </w:rPr>
          <w:t>Aladdin</w:t>
        </w:r>
      </w:hyperlink>
      <w:hyperlink r:id="rId37">
        <w:r>
          <w:rPr>
            <w:rStyle w:val="WSCLink"/>
            <w:rFonts w:ascii="Georgia" w:hAnsi="Georgia" w:eastAsia="Georgia" w:cs="Georgia"/>
            <w:color w:val="825F1F"/>
            <w:u w:val="single"/>
          </w:rPr>
          <w:t xml:space="preserve"> (L062)</w:t>
        </w:r>
      </w:hyperlink>
      <w:r>
        <w:rPr>
          <w:b w:val="0"/>
          <w:i w:val="0"/>
        </w:rPr>
        <w:t xml:space="preserve">, also called </w:t>
      </w:r>
      <w:r>
        <w:rPr>
          <w:b w:val="0"/>
          <w:i/>
        </w:rPr>
        <w:t>You Can Count on Me</w:t>
      </w:r>
      <w:r>
        <w:rPr>
          <w:b w:val="0"/>
          <w:i w:val="0"/>
        </w:rPr>
        <w:t xml:space="preserve">, belongs to a documented transition in the film’s score. </w:t>
      </w:r>
      <w:hyperlink r:id="rId38">
        <w:r>
          <w:rPr>
            <w:rStyle w:val="WSCLink"/>
            <w:rFonts w:ascii="Georgia" w:hAnsi="Georgia" w:eastAsia="Georgia" w:cs="Georgia"/>
            <w:color w:val="825F1F"/>
            <w:u w:val="single"/>
          </w:rPr>
          <w:t>Alan Menken’s own account</w:t>
        </w:r>
      </w:hyperlink>
      <w:r>
        <w:rPr>
          <w:b w:val="0"/>
          <w:i w:val="0"/>
        </w:rPr>
        <w:t xml:space="preserve"> explains that the first score he wrote with Howard Ashman was largely shelved. Menken then briefly tried writing lyrics himself on this song before beginning his collaboration with Tim Rice, which produced </w:t>
      </w:r>
      <w:r>
        <w:rPr>
          <w:b w:val="0"/>
          <w:i/>
        </w:rPr>
        <w:t>One Jump Ahead</w:t>
      </w:r>
      <w:r>
        <w:rPr>
          <w:b w:val="0"/>
          <w:i w:val="0"/>
        </w:rPr>
        <w:t xml:space="preserve"> and </w:t>
      </w:r>
      <w:r>
        <w:rPr>
          <w:b w:val="0"/>
          <w:i/>
        </w:rPr>
        <w:t>A Whole New World</w:t>
      </w:r>
      <w:r>
        <w:rPr>
          <w:b w:val="0"/>
          <w:i w:val="0"/>
        </w:rPr>
        <w:t>.</w:t>
      </w:r>
    </w:p>
    <w:p>
      <w:pPr/>
      <w:r>
        <w:rPr>
          <w:b w:val="0"/>
          <w:i w:val="0"/>
        </w:rPr>
        <w:t xml:space="preserve">When listening, ask what version of Aladdin the number introduces. The demo presents his hopes and aspirations in a relatively reflective way. The final film instead introduces him through the faster action and social pressure of </w:t>
      </w:r>
      <w:r>
        <w:rPr>
          <w:b w:val="0"/>
          <w:i/>
        </w:rPr>
        <w:t>One Jump Ahead</w:t>
      </w:r>
      <w:r>
        <w:rPr>
          <w:b w:val="0"/>
          <w:i w:val="0"/>
        </w:rPr>
        <w:t>, then gives his longing a brief reprise. That comparison supports a structural interpretation: the later solution reveals character while moving the chase and plot. Menken’s account establishes the writing sequence, but it does not give one definitive private reason for rejecting the demo.</w:t>
      </w:r>
    </w:p>
    <w:p>
      <w:pPr>
        <w:pStyle w:val="Heading2"/>
      </w:pPr>
      <w:r>
        <w:rPr>
          <w:b w:val="0"/>
          <w:i/>
        </w:rPr>
        <w:t>First to Dance</w:t>
      </w:r>
      <w:r>
        <w:rPr>
          <w:b w:val="0"/>
          <w:i w:val="0"/>
        </w:rPr>
        <w:t xml:space="preserve"> and the possibilities around one scene</w:t>
      </w:r>
    </w:p>
    <w:p>
      <w:pPr/>
      <w:hyperlink r:id="rId39">
        <w:r>
          <w:rPr>
            <w:rStyle w:val="WSCLink"/>
            <w:rFonts w:ascii="Georgia" w:hAnsi="Georgia" w:eastAsia="Georgia" w:cs="Georgia"/>
            <w:color w:val="825F1F"/>
            <w:u w:val="single"/>
            <w:i/>
          </w:rPr>
          <w:t>First to Dance</w:t>
        </w:r>
      </w:hyperlink>
      <w:hyperlink r:id="rId39">
        <w:r>
          <w:rPr>
            <w:rStyle w:val="WSCLink"/>
            <w:rFonts w:ascii="Georgia" w:hAnsi="Georgia" w:eastAsia="Georgia" w:cs="Georgia"/>
            <w:color w:val="825F1F"/>
            <w:u w:val="single"/>
          </w:rPr>
          <w:t xml:space="preserve"> from </w:t>
        </w:r>
      </w:hyperlink>
      <w:hyperlink r:id="rId39">
        <w:r>
          <w:rPr>
            <w:rStyle w:val="WSCLink"/>
            <w:rFonts w:ascii="Georgia" w:hAnsi="Georgia" w:eastAsia="Georgia" w:cs="Georgia"/>
            <w:color w:val="825F1F"/>
            <w:u w:val="single"/>
            <w:i/>
          </w:rPr>
          <w:t>Pocahontas</w:t>
        </w:r>
      </w:hyperlink>
      <w:hyperlink r:id="rId39">
        <w:r>
          <w:rPr>
            <w:rStyle w:val="WSCLink"/>
            <w:rFonts w:ascii="Georgia" w:hAnsi="Georgia" w:eastAsia="Georgia" w:cs="Georgia"/>
            <w:color w:val="825F1F"/>
            <w:u w:val="single"/>
          </w:rPr>
          <w:t xml:space="preserve"> (L063)</w:t>
        </w:r>
      </w:hyperlink>
      <w:r>
        <w:rPr>
          <w:b w:val="0"/>
          <w:i w:val="0"/>
        </w:rPr>
        <w:t xml:space="preserve"> offers a lighter possibility inside a film whose story moves toward conflict and violence. Stephen Schwartz identifies it as a Grandmother Willow song intended for roughly the same place as an abandoned Pocahontas-John Smith duet, shortly before the couple would be discovered together by Kocoum. He also names it as one of his favourite cut songs. His account documents singer and placement, but does not give one definitive reason for the cut.</w:t>
      </w:r>
    </w:p>
    <w:p>
      <w:pPr/>
      <w:r>
        <w:rPr>
          <w:b w:val="0"/>
          <w:i w:val="0"/>
        </w:rPr>
        <w:t>A song’s tone cannot be judged separately from its position. One plausible structural reading is that a playful number near this discovery could delay the central relationship, soften the approaching conflict, or repeat an idea delivered elsewhere. That remains an interpretation, not Schwartz’s stated verdict. “Too silly” becomes useful only after we explain too silly for which moment, which character arc, and which version of the film.</w:t>
      </w:r>
    </w:p>
    <w:p>
      <w:pPr>
        <w:pStyle w:val="Heading2"/>
      </w:pPr>
      <w:r>
        <w:rPr>
          <w:b w:val="0"/>
          <w:i/>
        </w:rPr>
        <w:t>Family Home Evening</w:t>
      </w:r>
      <w:r>
        <w:rPr>
          <w:b w:val="0"/>
          <w:i w:val="0"/>
        </w:rPr>
        <w:t xml:space="preserve"> and the cost of exposition</w:t>
      </w:r>
    </w:p>
    <w:p>
      <w:pPr/>
      <w:r>
        <w:rPr>
          <w:b w:val="0"/>
          <w:i w:val="0"/>
        </w:rPr>
        <w:t xml:space="preserve">The </w:t>
      </w:r>
      <w:hyperlink r:id="rId40">
        <w:r>
          <w:rPr>
            <w:rStyle w:val="WSCLink"/>
            <w:rFonts w:ascii="Georgia" w:hAnsi="Georgia" w:eastAsia="Georgia" w:cs="Georgia"/>
            <w:color w:val="825F1F"/>
            <w:u w:val="single"/>
            <w:i/>
          </w:rPr>
          <w:t>Family Home Evening</w:t>
        </w:r>
      </w:hyperlink>
      <w:hyperlink r:id="rId40">
        <w:r>
          <w:rPr>
            <w:rStyle w:val="WSCLink"/>
            <w:rFonts w:ascii="Georgia" w:hAnsi="Georgia" w:eastAsia="Georgia" w:cs="Georgia"/>
            <w:color w:val="825F1F"/>
            <w:u w:val="single"/>
          </w:rPr>
          <w:t xml:space="preserve"> demo from </w:t>
        </w:r>
      </w:hyperlink>
      <w:hyperlink r:id="rId40">
        <w:r>
          <w:rPr>
            <w:rStyle w:val="WSCLink"/>
            <w:rFonts w:ascii="Georgia" w:hAnsi="Georgia" w:eastAsia="Georgia" w:cs="Georgia"/>
            <w:color w:val="825F1F"/>
            <w:u w:val="single"/>
            <w:i/>
          </w:rPr>
          <w:t>The Book of Mormon</w:t>
        </w:r>
      </w:hyperlink>
      <w:hyperlink r:id="rId40">
        <w:r>
          <w:rPr>
            <w:rStyle w:val="WSCLink"/>
            <w:rFonts w:ascii="Georgia" w:hAnsi="Georgia" w:eastAsia="Georgia" w:cs="Georgia"/>
            <w:color w:val="825F1F"/>
            <w:u w:val="single"/>
          </w:rPr>
          <w:t xml:space="preserve"> (L064)</w:t>
        </w:r>
      </w:hyperlink>
      <w:r>
        <w:rPr>
          <w:b w:val="0"/>
          <w:i w:val="0"/>
        </w:rPr>
        <w:t xml:space="preserve"> presents cultural and family material that can help establish a world. Workshop songs often do this work because writers need to discover how much background an audience requires. Yet information has a cost. A number that explains a practice clearly may slow the route to the main conflict, or place emphasis on a secondary idea that later scenes can communicate through action.</w:t>
      </w:r>
    </w:p>
    <w:p>
      <w:pPr/>
      <w:r>
        <w:rPr>
          <w:b w:val="0"/>
          <w:i w:val="0"/>
        </w:rPr>
        <w:t>The surviving demo does not come with a simple official verdict printed on it. Students should mark the boundary between evidence and inference. We can describe what the song explains, estimate where that information would sit, and compare it with the final show. We cannot claim to know one private reason for deletion unless a creator supplies it. The curriculum’s question asks why we think it was omitted, so a supported structural argument is stronger than false certainty.</w:t>
      </w:r>
    </w:p>
    <w:p>
      <w:pPr>
        <w:pStyle w:val="Heading2"/>
      </w:pPr>
      <w:r>
        <w:rPr>
          <w:b w:val="0"/>
          <w:i/>
        </w:rPr>
        <w:t>In the Bedroom Down the Hall</w:t>
      </w:r>
      <w:r>
        <w:rPr>
          <w:b w:val="0"/>
          <w:i w:val="0"/>
        </w:rPr>
        <w:t>: what a beautiful pause would change</w:t>
      </w:r>
    </w:p>
    <w:p>
      <w:pPr/>
      <w:hyperlink r:id="rId41">
        <w:r>
          <w:rPr>
            <w:rStyle w:val="WSCLink"/>
            <w:rFonts w:ascii="Georgia" w:hAnsi="Georgia" w:eastAsia="Georgia" w:cs="Georgia"/>
            <w:color w:val="825F1F"/>
            <w:u w:val="single"/>
            <w:i/>
          </w:rPr>
          <w:t>In the Bedroom Down the Hall</w:t>
        </w:r>
      </w:hyperlink>
      <w:hyperlink r:id="rId41">
        <w:r>
          <w:rPr>
            <w:rStyle w:val="WSCLink"/>
            <w:rFonts w:ascii="Georgia" w:hAnsi="Georgia" w:eastAsia="Georgia" w:cs="Georgia"/>
            <w:color w:val="825F1F"/>
            <w:u w:val="single"/>
          </w:rPr>
          <w:t xml:space="preserve"> from </w:t>
        </w:r>
      </w:hyperlink>
      <w:hyperlink r:id="rId41">
        <w:r>
          <w:rPr>
            <w:rStyle w:val="WSCLink"/>
            <w:rFonts w:ascii="Georgia" w:hAnsi="Georgia" w:eastAsia="Georgia" w:cs="Georgia"/>
            <w:color w:val="825F1F"/>
            <w:u w:val="single"/>
            <w:i/>
          </w:rPr>
          <w:t>Dear Evan Hansen</w:t>
        </w:r>
      </w:hyperlink>
      <w:hyperlink r:id="rId41">
        <w:r>
          <w:rPr>
            <w:rStyle w:val="WSCLink"/>
            <w:rFonts w:ascii="Georgia" w:hAnsi="Georgia" w:eastAsia="Georgia" w:cs="Georgia"/>
            <w:color w:val="825F1F"/>
            <w:u w:val="single"/>
          </w:rPr>
          <w:t xml:space="preserve"> (L065)</w:t>
        </w:r>
      </w:hyperlink>
      <w:r>
        <w:rPr>
          <w:b w:val="0"/>
          <w:i w:val="0"/>
        </w:rPr>
        <w:t xml:space="preserve"> gives the mothers of Connor and Evan space to remember the sons they could not fully reach. The parallel is emotionally powerful. Depending on where it is placed, however, it could shift attention away from Evan while the consequences of his lie and the show’s movement toward resolution are pressing.</w:t>
      </w:r>
    </w:p>
    <w:p>
      <w:pPr/>
      <w:r>
        <w:rPr>
          <w:b w:val="0"/>
          <w:i w:val="0"/>
        </w:rPr>
        <w:t>That creates a possible editorial trade-off. Keeping the song could deepen Cynthia and Heidi, restore memories of Connor as a person rather than an idea, and make the two families mirror one another. Cutting it could tighten the final movement or prevent a long reflective pause from repeating grief the audience already understands. These are structural inferences, not a documented statement of the creators’ reason. The choice is not between emotion and no emotion. It is between two distributions of attention and time.</w:t>
      </w:r>
    </w:p>
    <w:p>
      <w:pPr/>
      <w:r>
        <w:rPr>
          <w:b w:val="0"/>
          <w:i w:val="0"/>
        </w:rPr>
        <w:t>The song’s later circulation also changes how audiences judge the cut. Heard alone, it receives silence, replay, and focused attention that it would not receive inside a live running time. A fan can love the removed number precisely because the internet has separated it from the pacing question that any production placement would have to solve.</w:t>
      </w:r>
    </w:p>
    <w:p>
      <w:pPr>
        <w:pStyle w:val="Heading2"/>
      </w:pPr>
      <w:r>
        <w:rPr>
          <w:b w:val="0"/>
          <w:i w:val="0"/>
        </w:rPr>
        <w:t>The internet gives rejected routes an afterlife</w:t>
      </w:r>
    </w:p>
    <w:p>
      <w:pPr/>
      <w:r>
        <w:rPr>
          <w:b w:val="0"/>
          <w:i w:val="0"/>
        </w:rPr>
        <w:t>Before digital circulation, most work tapes and cut songs stayed in private archives, theatre libraries, or collectors’ editions. Online video now lets an abandoned number accumulate listeners, commentary, covers, and its own emotional reputation. That visibility is valuable to scholars because it makes revision audible. It can also blur the boundary between canonical story and development material.</w:t>
      </w:r>
    </w:p>
    <w:p>
      <w:pPr/>
      <w:r>
        <w:rPr>
          <w:b w:val="0"/>
          <w:i w:val="0"/>
        </w:rPr>
        <w:t>A cut song is not secretly part of the final plot just because millions of people can hear it. It is evidence of a route the creators explored. Sometimes an adaptation later restores such material because a stage version has more time, a character has changed, or nostalgia has given the song new value. Restoration does not prove the original cut was mistaken. A work faces different constraints in each medium and moment.</w:t>
      </w:r>
    </w:p>
    <w:p>
      <w:pPr/>
      <w:r>
        <w:rPr>
          <w:b w:val="0"/>
          <w:i w:val="0"/>
        </w:rPr>
        <w:t>The four songs teach a disciplined way to answer “Why was it cut?” First identify the song’s dramatic job. Then locate it in the version of the story that existed when it was written. Compare that job with surviving scenes and songs. Consider pacing, tone, character focus, production demands, and the information an audience already has. Only after that should personal taste enter the discussion.</w:t>
      </w:r>
    </w:p>
    <w:p>
      <w:pPr>
        <w:pStyle w:val="WSCSourceNote"/>
        <w:shd w:fill="F7EACC" w:val="clear"/>
        <w:pBdr>
          <w:left w:val="single" w:sz="14" w:space="6" w:color="C89C44"/>
        </w:pBdr>
      </w:pPr>
      <w:r>
        <w:rPr>
          <w:b/>
          <w:i w:val="0"/>
        </w:rPr>
        <w:t>Sources for this chapter:</w:t>
      </w:r>
      <w:r>
        <w:rPr>
          <w:b w:val="0"/>
          <w:i w:val="0"/>
        </w:rPr>
        <w:t xml:space="preserve"> official curriculum demos </w:t>
      </w:r>
      <w:hyperlink r:id="rId37">
        <w:r>
          <w:rPr>
            <w:rStyle w:val="WSCLink"/>
            <w:rFonts w:ascii="Georgia" w:hAnsi="Georgia" w:eastAsia="Georgia" w:cs="Georgia"/>
            <w:color w:val="825F1F"/>
            <w:u w:val="single"/>
          </w:rPr>
          <w:t>L062</w:t>
        </w:r>
      </w:hyperlink>
      <w:r>
        <w:rPr>
          <w:b w:val="0"/>
          <w:i w:val="0"/>
        </w:rPr>
        <w:t xml:space="preserve"> through </w:t>
      </w:r>
      <w:hyperlink r:id="rId41">
        <w:r>
          <w:rPr>
            <w:rStyle w:val="WSCLink"/>
            <w:rFonts w:ascii="Georgia" w:hAnsi="Georgia" w:eastAsia="Georgia" w:cs="Georgia"/>
            <w:color w:val="825F1F"/>
            <w:u w:val="single"/>
          </w:rPr>
          <w:t>L065</w:t>
        </w:r>
      </w:hyperlink>
      <w:r>
        <w:rPr>
          <w:b w:val="0"/>
          <w:i w:val="0"/>
        </w:rPr>
        <w:t xml:space="preserve">; </w:t>
      </w:r>
      <w:hyperlink r:id="rId38">
        <w:r>
          <w:rPr>
            <w:rStyle w:val="WSCLink"/>
            <w:rFonts w:ascii="Georgia" w:hAnsi="Georgia" w:eastAsia="Georgia" w:cs="Georgia"/>
            <w:color w:val="825F1F"/>
            <w:u w:val="single"/>
          </w:rPr>
          <w:t xml:space="preserve">Alan Menken on the development of </w:t>
        </w:r>
      </w:hyperlink>
      <w:hyperlink r:id="rId38">
        <w:r>
          <w:rPr>
            <w:rStyle w:val="WSCLink"/>
            <w:rFonts w:ascii="Georgia" w:hAnsi="Georgia" w:eastAsia="Georgia" w:cs="Georgia"/>
            <w:color w:val="825F1F"/>
            <w:u w:val="single"/>
            <w:i/>
          </w:rPr>
          <w:t>Aladdin</w:t>
        </w:r>
      </w:hyperlink>
      <w:r>
        <w:rPr>
          <w:b w:val="0"/>
          <w:i w:val="0"/>
        </w:rPr>
        <w:t xml:space="preserve">; </w:t>
      </w:r>
      <w:hyperlink r:id="rId42">
        <w:r>
          <w:rPr>
            <w:rStyle w:val="WSCLink"/>
            <w:rFonts w:ascii="Georgia" w:hAnsi="Georgia" w:eastAsia="Georgia" w:cs="Georgia"/>
            <w:color w:val="825F1F"/>
            <w:u w:val="single"/>
          </w:rPr>
          <w:t xml:space="preserve">Stephen Schwartz on the development of </w:t>
        </w:r>
      </w:hyperlink>
      <w:hyperlink r:id="rId42">
        <w:r>
          <w:rPr>
            <w:rStyle w:val="WSCLink"/>
            <w:rFonts w:ascii="Georgia" w:hAnsi="Georgia" w:eastAsia="Georgia" w:cs="Georgia"/>
            <w:color w:val="825F1F"/>
            <w:u w:val="single"/>
            <w:i/>
          </w:rPr>
          <w:t>Pocahontas</w:t>
        </w:r>
      </w:hyperlink>
      <w:r>
        <w:rPr>
          <w:b w:val="0"/>
          <w:i w:val="0"/>
        </w:rPr>
        <w:t xml:space="preserve">; and </w:t>
      </w:r>
      <w:hyperlink r:id="rId43">
        <w:r>
          <w:rPr>
            <w:rStyle w:val="WSCLink"/>
            <w:rFonts w:ascii="Georgia" w:hAnsi="Georgia" w:eastAsia="Georgia" w:cs="Georgia"/>
            <w:color w:val="825F1F"/>
            <w:u w:val="single"/>
          </w:rPr>
          <w:t xml:space="preserve">Playbill on the cut </w:t>
        </w:r>
      </w:hyperlink>
      <w:hyperlink r:id="rId43">
        <w:r>
          <w:rPr>
            <w:rStyle w:val="WSCLink"/>
            <w:rFonts w:ascii="Georgia" w:hAnsi="Georgia" w:eastAsia="Georgia" w:cs="Georgia"/>
            <w:color w:val="825F1F"/>
            <w:u w:val="single"/>
            <w:i/>
          </w:rPr>
          <w:t>Dear Evan Hansen</w:t>
        </w:r>
      </w:hyperlink>
      <w:hyperlink r:id="rId43">
        <w:r>
          <w:rPr>
            <w:rStyle w:val="WSCLink"/>
            <w:rFonts w:ascii="Georgia" w:hAnsi="Georgia" w:eastAsia="Georgia" w:cs="Georgia"/>
            <w:color w:val="825F1F"/>
            <w:u w:val="single"/>
          </w:rPr>
          <w:t xml:space="preserve"> song</w:t>
        </w:r>
      </w:hyperlink>
      <w:r>
        <w:rPr>
          <w:b w:val="0"/>
          <w:i w:val="0"/>
        </w:rPr>
        <w:t>.</w:t>
      </w:r>
    </w:p>
    <w:p>
      <w:pPr>
        <w:pStyle w:val="Heading1"/>
        <w:pageBreakBefore/>
        <w:pBdr>
          <w:bottom w:val="single" w:sz="9" w:space="5" w:color="C89C44"/>
        </w:pBdr>
      </w:pPr>
      <w:r>
        <w:rPr>
          <w:b w:val="0"/>
          <w:i w:val="0"/>
        </w:rPr>
        <w:t>Chapter 4 - Rehearsal as a draft of action</w:t>
      </w:r>
    </w:p>
    <w:p>
      <w:pPr/>
      <w:r>
        <w:rPr>
          <w:b w:val="0"/>
          <w:i w:val="0"/>
        </w:rPr>
        <w:t>A painting draft can remain beside the final canvas. A rehearsal disappears as soon as the action ends, but it serves the same basic purpose. It produces a version early enough to change. An actor tests an entrance, a musician tests timing, an athlete tests a movement sequence, and a student tests whether an argument survives an unexpected reply. The rehearsal is useful when it exposes the next decision.</w:t>
      </w:r>
    </w:p>
    <w:p>
      <w:pPr/>
      <w:r>
        <w:rPr>
          <w:b w:val="0"/>
          <w:i w:val="0"/>
        </w:rPr>
        <w:t>The word covers activities that should not be collapsed. Physical rehearsal performs the action and supplies sensory and muscular feedback. Motor imagery simulates a movement without fully executing it. Verbal rehearsal keeps language, claims, or possible replies active. Role-play introduces another person whose response may disrupt the script. Retrieval practice asks the learner to produce knowledge without looking at the source. These activities overlap, but they do not test the same thing.</w:t>
      </w:r>
    </w:p>
    <w:p>
      <w:pPr>
        <w:pStyle w:val="Heading2"/>
      </w:pPr>
      <w:r>
        <w:rPr>
          <w:b w:val="0"/>
          <w:i w:val="0"/>
        </w:rPr>
        <w:t>There is no single rehearsal centre in the brain</w:t>
      </w:r>
    </w:p>
    <w:p>
      <w:pPr/>
      <w:r>
        <w:rPr>
          <w:b w:val="0"/>
          <w:i w:val="0"/>
        </w:rPr>
        <w:t>The official prompt asks what parts of the brain rehearsal affects. A tempting answer is to name one region and stop. That would be misleading because the network changes with the task. Mentally rehearsing a tennis serve, silently repeating a sentence, and practising a difficult conversation combine different forms of perception, planning, memory, language, emotion, and control.</w:t>
      </w:r>
    </w:p>
    <w:p>
      <w:pPr/>
      <w:r>
        <w:rPr>
          <w:b w:val="0"/>
          <w:i w:val="0"/>
        </w:rPr>
        <w:t xml:space="preserve">A </w:t>
      </w:r>
      <w:hyperlink r:id="rId44">
        <w:r>
          <w:rPr>
            <w:rStyle w:val="WSCLink"/>
            <w:rFonts w:ascii="Georgia" w:hAnsi="Georgia" w:eastAsia="Georgia" w:cs="Georgia"/>
            <w:color w:val="825F1F"/>
            <w:u w:val="single"/>
          </w:rPr>
          <w:t>large neuroimaging synthesis of motor imagery, action observation, and movement execution</w:t>
        </w:r>
      </w:hyperlink>
      <w:r>
        <w:rPr>
          <w:b w:val="0"/>
          <w:i w:val="0"/>
        </w:rPr>
        <w:t xml:space="preserve"> found overlap in premotor and parietal systems involved in planning actions and representing the body in space. Supplementary motor regions, cerebellar areas, and basal-ganglia systems can participate in timing and control. The overlap explains why imagining movement can support some skills. It does not make imagery a neural copy of execution. Activity in primary motor areas is generally weaker and less consistent, and mental imagery lacks much of the physical feedback produced by an actual movement.</w:t>
      </w:r>
    </w:p>
    <w:p>
      <w:pPr/>
      <w:r>
        <w:rPr>
          <w:b w:val="0"/>
          <w:i w:val="0"/>
        </w:rPr>
        <w:t xml:space="preserve">Verbal rehearsal draws on distributed working-memory and speech systems. An </w:t>
      </w:r>
      <w:hyperlink r:id="rId45">
        <w:r>
          <w:rPr>
            <w:rStyle w:val="WSCLink"/>
            <w:rFonts w:ascii="Georgia" w:hAnsi="Georgia" w:eastAsia="Georgia" w:cs="Georgia"/>
            <w:color w:val="825F1F"/>
            <w:u w:val="single"/>
          </w:rPr>
          <w:t>fMRI meta-analysis of verbal working memory</w:t>
        </w:r>
      </w:hyperlink>
      <w:r>
        <w:rPr>
          <w:b w:val="0"/>
          <w:i w:val="0"/>
        </w:rPr>
        <w:t xml:space="preserve"> reports frontal, parietal, cerebellar, insular, cingulate, and basal-ganglia involvement across tasks. The exact pattern depends on whether someone is retaining sounds, ordering information, preparing speech, resisting distraction, or responding socially. Brain activity tells us that a task recruits a network. It does not by itself prove that the rehearsal produced durable learning.</w:t>
      </w:r>
    </w:p>
    <w:p>
      <w:pPr>
        <w:pStyle w:val="Heading2"/>
      </w:pPr>
      <w:r>
        <w:rPr>
          <w:b w:val="0"/>
          <w:i w:val="0"/>
        </w:rPr>
        <w:t>Imagining the process is different from imagining the ending</w:t>
      </w:r>
    </w:p>
    <w:p>
      <w:pPr/>
      <w:r>
        <w:rPr>
          <w:b w:val="0"/>
          <w:i w:val="0"/>
        </w:rPr>
        <w:t>Outcome imagery jumps to the desired result: applause, a successful conversation, a perfect landing, or a high score. It can motivate and reduce anxiety, but it may allow the hard middle to disappear. Process rehearsal moves through cues, decisions, transitions, likely obstacles, and recovery after error. It asks what the person will notice and do next.</w:t>
      </w:r>
    </w:p>
    <w:p>
      <w:pPr/>
      <w:r>
        <w:rPr>
          <w:b w:val="0"/>
          <w:i w:val="0"/>
        </w:rPr>
        <w:t>A debater who imagines winning may feel confident without discovering that the second claim has no evidence. A debater who rehearses several plausible rebuttals finds the weak step before the round. A pianist who imagines the final chord does not test the difficult hand change two pages earlier. A pianist who mentally and physically rehearses the transition can compare prediction with sensation. The useful draft contains enough of the process to reveal where it breaks.</w:t>
      </w:r>
    </w:p>
    <w:p>
      <w:pPr/>
      <w:r>
        <w:rPr>
          <w:b w:val="0"/>
          <w:i w:val="0"/>
        </w:rPr>
        <w:t xml:space="preserve">The </w:t>
      </w:r>
      <w:hyperlink r:id="rId46">
        <w:r>
          <w:rPr>
            <w:rStyle w:val="WSCLink"/>
            <w:rFonts w:ascii="Georgia" w:hAnsi="Georgia" w:eastAsia="Georgia" w:cs="Georgia"/>
            <w:color w:val="825F1F"/>
            <w:u w:val="single"/>
          </w:rPr>
          <w:t>systematic review of mental simulation and behaviour</w:t>
        </w:r>
      </w:hyperlink>
      <w:r>
        <w:rPr>
          <w:b w:val="0"/>
          <w:i w:val="0"/>
        </w:rPr>
        <w:t xml:space="preserve"> supports a task-specific view. Mental practice can help, but effects depend on what is simulated, how the simulation is guided, the participant’s existing skill, and which outcome is measured. “Visualization works” is too broad to guide a rehearsal plan.</w:t>
      </w:r>
    </w:p>
    <w:p>
      <w:pPr>
        <w:pStyle w:val="Heading2"/>
      </w:pPr>
      <w:r>
        <w:rPr>
          <w:b w:val="0"/>
          <w:i w:val="0"/>
        </w:rPr>
        <w:t>Immediate fluency can imitate learning</w:t>
      </w:r>
    </w:p>
    <w:p>
      <w:pPr/>
      <w:r>
        <w:rPr>
          <w:b w:val="0"/>
          <w:i w:val="0"/>
        </w:rPr>
        <w:t>Repeating the same speech or movement in the same room makes it feel easier. Some of that improvement is real. Some comes from short-term familiarity with the exact sequence and conditions. If the cue changes tomorrow, the smooth performance may disappear. Motor-learning research therefore separates performance during practice from retention after a delay and transfer to a changed task.</w:t>
      </w:r>
    </w:p>
    <w:p>
      <w:pPr/>
      <w:r>
        <w:rPr>
          <w:b w:val="0"/>
          <w:i w:val="0"/>
        </w:rPr>
        <w:t>This distinction matters for every WSC event. Rereading a guide can create recognition without retrieval. Repeating one memorized debate speech can produce accuracy without adaptation. Practising Bowl questions from one familiar category can teach a team to expect the pattern rather than respond to content. A rehearsal that never changes conditions may train the rehearsal itself.</w:t>
      </w:r>
    </w:p>
    <w:p>
      <w:pPr/>
      <w:r>
        <w:rPr>
          <w:b w:val="0"/>
          <w:i w:val="0"/>
        </w:rPr>
        <w:t xml:space="preserve">The </w:t>
      </w:r>
      <w:hyperlink r:id="rId47">
        <w:r>
          <w:rPr>
            <w:rStyle w:val="WSCLink"/>
            <w:rFonts w:ascii="Georgia" w:hAnsi="Georgia" w:eastAsia="Georgia" w:cs="Georgia"/>
            <w:color w:val="825F1F"/>
            <w:u w:val="single"/>
          </w:rPr>
          <w:t>motor-learning review on performance, retention, and transfer</w:t>
        </w:r>
      </w:hyperlink>
      <w:r>
        <w:rPr>
          <w:b w:val="0"/>
          <w:i w:val="0"/>
        </w:rPr>
        <w:t xml:space="preserve"> explains why a temporary gain during practice is not sufficient evidence of learning. For academic work, the same caution appears in the </w:t>
      </w:r>
      <w:hyperlink r:id="rId48">
        <w:r>
          <w:rPr>
            <w:rStyle w:val="WSCLink"/>
            <w:rFonts w:ascii="Georgia" w:hAnsi="Georgia" w:eastAsia="Georgia" w:cs="Georgia"/>
            <w:color w:val="825F1F"/>
            <w:u w:val="single"/>
          </w:rPr>
          <w:t>systematic review of distributed and retrieval practice</w:t>
        </w:r>
      </w:hyperlink>
      <w:r>
        <w:rPr>
          <w:b w:val="0"/>
          <w:i w:val="0"/>
        </w:rPr>
        <w:t>: spacing and producing an answer from memory can reveal more than another immediate exposure to the page.</w:t>
      </w:r>
    </w:p>
    <w:p>
      <w:pPr>
        <w:pStyle w:val="Heading2"/>
      </w:pPr>
      <w:r>
        <w:rPr>
          <w:b w:val="0"/>
          <w:i w:val="0"/>
        </w:rPr>
        <w:t>How to decide that rehearsal is enough</w:t>
      </w:r>
    </w:p>
    <w:p>
      <w:pPr/>
      <w:r>
        <w:rPr>
          <w:b w:val="0"/>
          <w:i w:val="0"/>
        </w:rPr>
        <w:t>There is no universal number of repetitions and no scan that displays a “ready” light. Readiness must be defined as observable performance. Begin with accuracy: the essential steps or ideas have to be correct. Then ask for consistency across more than one attempt, since a single success can be chance. Add a useful delay and test retention. Change the cue, room, question, partner, or pressure and test transfer. Finally, introduce a manageable error and see whether the performer notices, recovers, and continues.</w:t>
      </w:r>
    </w:p>
    <w:p>
      <w:pPr/>
      <w:r>
        <w:rPr>
          <w:b w:val="0"/>
          <w:i w:val="0"/>
        </w:rPr>
        <w:t>These criteria can disagree. A speaker may be accurate and consistent while reading notes but unable to retrieve the sequence later. An athlete may retain a movement in the training space but fail when timing changes. A team may know the facts yet lose coordination after one wrong answer. “Enough” does not mean perfect under every imaginable condition. It means performance is stable under the range of conditions that the real task is likely to impose.</w:t>
      </w:r>
    </w:p>
    <w:p>
      <w:pPr/>
      <w:r>
        <w:rPr>
          <w:b w:val="0"/>
          <w:i w:val="0"/>
        </w:rPr>
        <w:t>More repetition can become counterproductive when attention collapses, fatigue changes technique, or the same error is strengthened. At that point the next useful step may be feedback, rest, slower practice, a smaller component, or controlled variation. Repeating a failure at full speed is not determination. It is data that the method needs revision.</w:t>
      </w:r>
    </w:p>
    <w:p>
      <w:pPr>
        <w:pStyle w:val="Heading2"/>
      </w:pPr>
      <w:r>
        <w:rPr>
          <w:b w:val="0"/>
          <w:i w:val="0"/>
        </w:rPr>
        <w:t>Why two recent studies point in different directions</w:t>
      </w:r>
    </w:p>
    <w:p>
      <w:pPr/>
      <w:r>
        <w:rPr>
          <w:b w:val="0"/>
          <w:i w:val="0"/>
        </w:rPr>
        <w:t>Two studies published in 2025 offer a useful guard against universal claims. In one trial, twenty minutes of motor imagery improved force steadiness in a small elbow-flexion task among younger and older women. The measured task was narrow, and the improvement concerned a specific form of control. It shows that a brief imagery intervention can affect some outcomes under some conditions.</w:t>
      </w:r>
    </w:p>
    <w:p>
      <w:pPr/>
      <w:r>
        <w:rPr>
          <w:b w:val="0"/>
          <w:i w:val="0"/>
        </w:rPr>
        <w:t>In another trial, four weeks of walking-specific imagery did not improve five walking outcomes in healthy older adults. That result does not prove that imagery never works. The participants, baseline ability, movement, programme, and outcome measures differed from the force-control study. A healthy group may also have less room to improve on ordinary walking measures than a group training an unfamiliar control task.</w:t>
      </w:r>
    </w:p>
    <w:p>
      <w:pPr/>
      <w:r>
        <w:rPr>
          <w:b w:val="0"/>
          <w:i w:val="0"/>
        </w:rPr>
        <w:t xml:space="preserve">Comparing twenty minutes with four weeks as though duration were the only variable would be a serious mistake. Together the </w:t>
      </w:r>
      <w:hyperlink r:id="rId49">
        <w:r>
          <w:rPr>
            <w:rStyle w:val="WSCLink"/>
            <w:rFonts w:ascii="Georgia" w:hAnsi="Georgia" w:eastAsia="Georgia" w:cs="Georgia"/>
            <w:color w:val="825F1F"/>
            <w:u w:val="single"/>
          </w:rPr>
          <w:t>force-control trial</w:t>
        </w:r>
      </w:hyperlink>
      <w:r>
        <w:rPr>
          <w:b w:val="0"/>
          <w:i w:val="0"/>
        </w:rPr>
        <w:t xml:space="preserve"> and </w:t>
      </w:r>
      <w:hyperlink r:id="rId50">
        <w:r>
          <w:rPr>
            <w:rStyle w:val="WSCLink"/>
            <w:rFonts w:ascii="Georgia" w:hAnsi="Georgia" w:eastAsia="Georgia" w:cs="Georgia"/>
            <w:color w:val="825F1F"/>
            <w:u w:val="single"/>
          </w:rPr>
          <w:t>walking trial</w:t>
        </w:r>
      </w:hyperlink>
      <w:r>
        <w:rPr>
          <w:b w:val="0"/>
          <w:i w:val="0"/>
        </w:rPr>
        <w:t xml:space="preserve"> teach the principle that runs through this entire section: evidence belongs to the task that produced it. Transfer has to be demonstrated, not assumed.</w:t>
      </w:r>
    </w:p>
    <w:p>
      <w:pPr>
        <w:pStyle w:val="Heading2"/>
      </w:pPr>
      <w:r>
        <w:rPr>
          <w:b w:val="0"/>
          <w:i w:val="0"/>
        </w:rPr>
        <w:t>Turning WSC practice into informative rehearsal</w:t>
      </w:r>
    </w:p>
    <w:p>
      <w:pPr/>
      <w:r>
        <w:rPr>
          <w:b w:val="0"/>
          <w:i w:val="0"/>
        </w:rPr>
        <w:t>For the Scholar’s Challenge, close the guide and produce the claim, source, date, and connection without answer choices. Test again after a delay. For Team Debate, rehearse the purpose and evidence of an argument, then invite several different rebuttals so the speaker cannot depend on one memorized route. For Scholar’s Bowl, vary cues, practise team handoffs, and include recovery after a wrong first idea. The common goal is not to make practice feel smooth. It is to make the real performance less fragile.</w:t>
      </w:r>
    </w:p>
    <w:p>
      <w:pPr/>
      <w:r>
        <w:rPr>
          <w:b w:val="0"/>
          <w:i w:val="0"/>
        </w:rPr>
        <w:t>Rehearsal therefore completes the section’s movement from objects to actions. A visual draft records a possible arrangement. A music demo records a possible sound and function. A cut song preserves a route the whole work rejected. A rehearsal makes a future action testable. In every branch, progress occurs only when the evidence from one version changes the next.</w:t>
      </w:r>
    </w:p>
    <w:p>
      <w:pPr>
        <w:pStyle w:val="WSCSourceNote"/>
        <w:shd w:fill="F7EACC" w:val="clear"/>
        <w:pBdr>
          <w:left w:val="single" w:sz="14" w:space="6" w:color="C89C44"/>
        </w:pBdr>
      </w:pPr>
      <w:r>
        <w:rPr>
          <w:b/>
          <w:i w:val="0"/>
        </w:rPr>
        <w:t>Sources for this chapter:</w:t>
      </w:r>
      <w:r>
        <w:rPr>
          <w:b w:val="0"/>
          <w:i w:val="0"/>
        </w:rPr>
        <w:t xml:space="preserve"> the </w:t>
      </w:r>
      <w:hyperlink r:id="rId51">
        <w:r>
          <w:rPr>
            <w:rStyle w:val="WSCLink"/>
            <w:rFonts w:ascii="Georgia" w:hAnsi="Georgia" w:eastAsia="Georgia" w:cs="Georgia"/>
            <w:color w:val="825F1F"/>
            <w:u w:val="single"/>
          </w:rPr>
          <w:t>official WSC 2026 rehearsal prompt</w:t>
        </w:r>
      </w:hyperlink>
      <w:r>
        <w:rPr>
          <w:b w:val="0"/>
          <w:i w:val="0"/>
        </w:rPr>
        <w:t xml:space="preserve">; neuroimaging reviews of </w:t>
      </w:r>
      <w:hyperlink r:id="rId44">
        <w:r>
          <w:rPr>
            <w:rStyle w:val="WSCLink"/>
            <w:rFonts w:ascii="Georgia" w:hAnsi="Georgia" w:eastAsia="Georgia" w:cs="Georgia"/>
            <w:color w:val="825F1F"/>
            <w:u w:val="single"/>
          </w:rPr>
          <w:t>motor imagery</w:t>
        </w:r>
      </w:hyperlink>
      <w:r>
        <w:rPr>
          <w:b w:val="0"/>
          <w:i w:val="0"/>
        </w:rPr>
        <w:t xml:space="preserve"> and </w:t>
      </w:r>
      <w:hyperlink r:id="rId45">
        <w:r>
          <w:rPr>
            <w:rStyle w:val="WSCLink"/>
            <w:rFonts w:ascii="Georgia" w:hAnsi="Georgia" w:eastAsia="Georgia" w:cs="Georgia"/>
            <w:color w:val="825F1F"/>
            <w:u w:val="single"/>
          </w:rPr>
          <w:t>verbal working memory</w:t>
        </w:r>
      </w:hyperlink>
      <w:r>
        <w:rPr>
          <w:b w:val="0"/>
          <w:i w:val="0"/>
        </w:rPr>
        <w:t xml:space="preserve">; reviews of </w:t>
      </w:r>
      <w:hyperlink r:id="rId46">
        <w:r>
          <w:rPr>
            <w:rStyle w:val="WSCLink"/>
            <w:rFonts w:ascii="Georgia" w:hAnsi="Georgia" w:eastAsia="Georgia" w:cs="Georgia"/>
            <w:color w:val="825F1F"/>
            <w:u w:val="single"/>
          </w:rPr>
          <w:t>mental simulation</w:t>
        </w:r>
      </w:hyperlink>
      <w:r>
        <w:rPr>
          <w:b w:val="0"/>
          <w:i w:val="0"/>
        </w:rPr>
        <w:t xml:space="preserve">, </w:t>
      </w:r>
      <w:hyperlink r:id="rId48">
        <w:r>
          <w:rPr>
            <w:rStyle w:val="WSCLink"/>
            <w:rFonts w:ascii="Georgia" w:hAnsi="Georgia" w:eastAsia="Georgia" w:cs="Georgia"/>
            <w:color w:val="825F1F"/>
            <w:u w:val="single"/>
          </w:rPr>
          <w:t>distributed and retrieval practice</w:t>
        </w:r>
      </w:hyperlink>
      <w:r>
        <w:rPr>
          <w:b w:val="0"/>
          <w:i w:val="0"/>
        </w:rPr>
        <w:t xml:space="preserve">, and </w:t>
      </w:r>
      <w:hyperlink r:id="rId47">
        <w:r>
          <w:rPr>
            <w:rStyle w:val="WSCLink"/>
            <w:rFonts w:ascii="Georgia" w:hAnsi="Georgia" w:eastAsia="Georgia" w:cs="Georgia"/>
            <w:color w:val="825F1F"/>
            <w:u w:val="single"/>
          </w:rPr>
          <w:t>motor learning</w:t>
        </w:r>
      </w:hyperlink>
      <w:r>
        <w:rPr>
          <w:b w:val="0"/>
          <w:i w:val="0"/>
        </w:rPr>
        <w:t xml:space="preserve">; plus the two dated 2025 trials on </w:t>
      </w:r>
      <w:hyperlink r:id="rId49">
        <w:r>
          <w:rPr>
            <w:rStyle w:val="WSCLink"/>
            <w:rFonts w:ascii="Georgia" w:hAnsi="Georgia" w:eastAsia="Georgia" w:cs="Georgia"/>
            <w:color w:val="825F1F"/>
            <w:u w:val="single"/>
          </w:rPr>
          <w:t>force control</w:t>
        </w:r>
      </w:hyperlink>
      <w:r>
        <w:rPr>
          <w:b w:val="0"/>
          <w:i w:val="0"/>
        </w:rPr>
        <w:t xml:space="preserve"> and </w:t>
      </w:r>
      <w:hyperlink r:id="rId50">
        <w:r>
          <w:rPr>
            <w:rStyle w:val="WSCLink"/>
            <w:rFonts w:ascii="Georgia" w:hAnsi="Georgia" w:eastAsia="Georgia" w:cs="Georgia"/>
            <w:color w:val="825F1F"/>
            <w:u w:val="single"/>
          </w:rPr>
          <w:t>walking</w:t>
        </w:r>
      </w:hyperlink>
      <w:r>
        <w:rPr>
          <w:b w:val="0"/>
          <w:i w:val="0"/>
        </w:rPr>
        <w:t>.</w:t>
      </w:r>
    </w:p>
    <w:p>
      <w:pPr>
        <w:pStyle w:val="Heading1"/>
        <w:pBdr>
          <w:bottom w:val="single" w:sz="9" w:space="5" w:color="C89C44"/>
        </w:pBdr>
      </w:pPr>
      <w:r>
        <w:rPr>
          <w:b w:val="0"/>
          <w:i w:val="0"/>
        </w:rPr>
        <w:t>Epilogue - The final version is a choice, not a natural destination</w:t>
      </w:r>
    </w:p>
    <w:p>
      <w:pPr/>
      <w:r>
        <w:rPr>
          <w:b w:val="0"/>
          <w:i w:val="0"/>
        </w:rPr>
        <w:t>The word “final” sounds objective, but finality usually comes from a decision: the canvas leaves the studio, the recording is mastered, the show opens, the file is uploaded, or the performer walks on stage. Deadlines, patrons, budgets, media, institutions, and bodies help determine when revision stops. A creator can return later, but the published version now has a public history that the next revision cannot erase.</w:t>
      </w:r>
    </w:p>
    <w:p>
      <w:pPr/>
      <w:r>
        <w:rPr>
          <w:b w:val="0"/>
          <w:i w:val="0"/>
        </w:rPr>
        <w:t xml:space="preserve">This is why the best questions in the section move in both directions. Looking backward, they ask which earlier choices survive inside the final work. Looking forward, they ask what the test version made possible. The three Bedrooms show that repetition can preserve and redirect a valued idea. </w:t>
      </w:r>
      <w:r>
        <w:rPr>
          <w:b w:val="0"/>
          <w:i/>
        </w:rPr>
        <w:t>The Scream</w:t>
      </w:r>
      <w:r>
        <w:rPr>
          <w:b w:val="0"/>
          <w:i w:val="0"/>
        </w:rPr>
        <w:t xml:space="preserve"> shows one altered figure changing an entire emotional structure. The music demos show composition continuing through performance and technology. The cut songs show that deletion can protect the whole. Rehearsal shows that confidence deserves trust only when it survives delay, variation, and error.</w:t>
      </w:r>
    </w:p>
    <w:p>
      <w:pPr/>
      <w:r>
        <w:rPr>
          <w:b w:val="0"/>
          <w:i w:val="0"/>
        </w:rPr>
        <w:t>In an official round, an unfamiliar current example may replace the familiar painting or song. The method still holds. Identify the purpose of the early version. Describe the evidence it produced. Name the later decision. Then judge progress by the problem the next version solves, not by how polished it looks.</w:t>
      </w:r>
    </w:p>
    <w:sectPr w:rsidR="00FC693F" w:rsidRPr="0006063C" w:rsidSect="00034616">
      <w:headerReference w:type="first" r:id="rId9"/>
      <w:footerReference w:type="default" r:id="rId10"/>
      <w:footerReference w:type="first" r:id="rId11"/>
      <w:pgSz w:w="11906" w:h="16838"/>
      <w:pgMar w:top="1134" w:right="1134" w:bottom="1077" w:left="1134" w:header="34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THERE'S A DRAFT IN HERE</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THERE'S A DRAFT IN HERE</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585216" cy="515816"/>
          <wp:docPr id="1" name="Picture 1" title="WSCapp Guide mascot" descr="Guide, the WSCapp guide mascot"/>
          <wp:cNvGraphicFramePr>
            <a:graphicFrameLocks noChangeAspect="1"/>
          </wp:cNvGraphicFramePr>
          <a:graphic>
            <a:graphicData uri="http://schemas.openxmlformats.org/drawingml/2006/picture">
              <pic:pic>
                <pic:nvPicPr>
                  <pic:cNvPr id="0" name="Guide.png"/>
                  <pic:cNvPicPr/>
                </pic:nvPicPr>
                <pic:blipFill>
                  <a:blip r:embed="rId1"/>
                  <a:stretch>
                    <a:fillRect/>
                  </a:stretch>
                </pic:blipFill>
                <pic:spPr>
                  <a:xfrm>
                    <a:off x="0" y="0"/>
                    <a:ext cx="585216" cy="5158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6" w:lineRule="auto" w:after="140"/>
    </w:pPr>
    <w:rPr>
      <w:rFonts w:ascii="Georgia" w:hAnsi="Georgia" w:eastAsia="Georgia" w:cs="Georgia"/>
      <w:color w:val="412A17"/>
      <w:sz w:val="2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venir Next" w:hAnsi="Avenir Next" w:eastAsia="Avenir Next" w:cs="Avenir Next"/>
      <w:color w:val="6D5238"/>
      <w:sz w:val="14"/>
      <w:lang w:val="en-U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outlineLvl w:val="0"/>
    </w:pPr>
    <w:rPr>
      <w:rFonts w:asciiTheme="majorHAnsi" w:eastAsiaTheme="majorEastAsia" w:hAnsiTheme="majorHAnsi" w:cstheme="majorBidi" w:ascii="Avenir Next" w:hAnsi="Avenir Next" w:eastAsia="Avenir Next" w:cs="Avenir Next"/>
      <w:b/>
      <w:bCs/>
      <w:color w:val="6B4E16"/>
      <w:sz w:val="38"/>
      <w:szCs w:val="28"/>
      <w:lang w:val="en-US"/>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venir Next" w:hAnsi="Avenir Next" w:eastAsia="Avenir Next" w:cs="Avenir Next"/>
      <w:b/>
      <w:bCs/>
      <w:color w:val="412A17"/>
      <w:sz w:val="24"/>
      <w:szCs w:val="26"/>
      <w:lang w:val="en-US"/>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venir Next" w:hAnsi="Avenir Next" w:eastAsia="Avenir Next" w:cs="Avenir Next"/>
      <w:b/>
      <w:bCs/>
      <w:color w:val="6B4E16"/>
      <w:sz w:val="21"/>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80"/>
      <w:contextualSpacing/>
    </w:pPr>
    <w:rPr>
      <w:rFonts w:asciiTheme="majorHAnsi" w:eastAsiaTheme="majorEastAsia" w:hAnsiTheme="majorHAnsi" w:cstheme="majorBidi" w:ascii="Avenir Next" w:hAnsi="Avenir Next" w:eastAsia="Avenir Next" w:cs="Avenir Next"/>
      <w:b/>
      <w:color w:val="412A17"/>
      <w:spacing w:val="5"/>
      <w:kern w:val="28"/>
      <w:sz w:val="6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8" w:lineRule="auto"/>
      <w:ind w:left="397" w:hanging="193"/>
      <w:contextualSpacing/>
    </w:pPr>
    <w:rPr>
      <w:rFonts w:ascii="Georgia" w:hAnsi="Georgia" w:eastAsia="Georgia" w:cs="Georgia"/>
      <w:color w:val="412A17"/>
      <w:sz w:val="20"/>
      <w:lang w:val="en-U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8" w:lineRule="auto"/>
      <w:ind w:left="397" w:hanging="193"/>
      <w:contextualSpacing/>
    </w:pPr>
    <w:rPr>
      <w:rFonts w:ascii="Georgia" w:hAnsi="Georgia" w:eastAsia="Georgia" w:cs="Georgia"/>
      <w:color w:val="412A17"/>
      <w:sz w:val="20"/>
      <w:lang w:val="en-U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80" w:line="288" w:lineRule="auto"/>
      <w:ind w:left="397" w:right="283"/>
    </w:pPr>
    <w:rPr>
      <w:rFonts w:ascii="Georgia" w:hAnsi="Georgia" w:eastAsia="Georgia" w:cs="Georgia"/>
      <w:i/>
      <w:iCs/>
      <w:color w:val="6B4E16"/>
      <w:sz w:val="22"/>
      <w:lang w:val="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SCKicker">
    <w:name w:val="WSC Kicker"/>
    <w:basedOn w:val="Normal"/>
    <w:pPr>
      <w:keepNext/>
      <w:spacing w:after="140"/>
    </w:pPr>
    <w:rPr>
      <w:rFonts w:ascii="Avenir Next" w:hAnsi="Avenir Next" w:eastAsia="Avenir Next" w:cs="Avenir Next"/>
      <w:b/>
      <w:color w:val="825F1F"/>
      <w:sz w:val="17"/>
      <w:lang w:val="en-US"/>
    </w:rPr>
  </w:style>
  <w:style w:type="paragraph" w:customStyle="1" w:styleId="WSCSubtitle">
    <w:name w:val="WSC Subtitle"/>
    <w:basedOn w:val="Normal"/>
    <w:pPr>
      <w:keepNext/>
      <w:spacing w:after="360"/>
    </w:pPr>
    <w:rPr>
      <w:rFonts w:ascii="Georgia" w:hAnsi="Georgia" w:eastAsia="Georgia" w:cs="Georgia"/>
      <w:i/>
      <w:color w:val="6D5238"/>
      <w:sz w:val="24"/>
      <w:lang w:val="en-US"/>
    </w:rPr>
  </w:style>
  <w:style w:type="paragraph" w:customStyle="1" w:styleId="WSCEntryLead">
    <w:name w:val="WSC Entry Lead"/>
    <w:basedOn w:val="Normal"/>
    <w:pPr>
      <w:keepNext/>
      <w:spacing w:before="180" w:after="60"/>
    </w:pPr>
    <w:rPr>
      <w:rFonts w:ascii="Avenir Next" w:hAnsi="Avenir Next" w:eastAsia="Avenir Next" w:cs="Avenir Next"/>
      <w:b/>
      <w:color w:val="412A17"/>
      <w:sz w:val="21"/>
      <w:lang w:val="en-US"/>
    </w:rPr>
  </w:style>
  <w:style w:type="paragraph" w:customStyle="1" w:styleId="WSCEntryDetail">
    <w:name w:val="WSC Entry Detail"/>
    <w:basedOn w:val="Normal"/>
    <w:pPr>
      <w:spacing w:after="80" w:line="286" w:lineRule="auto"/>
      <w:ind w:left="198"/>
    </w:pPr>
    <w:rPr>
      <w:rFonts w:ascii="Georgia" w:hAnsi="Georgia" w:eastAsia="Georgia" w:cs="Georgia"/>
      <w:color w:val="412A17"/>
      <w:sz w:val="20"/>
      <w:lang w:val="en-US"/>
    </w:rPr>
  </w:style>
  <w:style w:type="paragraph" w:customStyle="1" w:styleId="WSCOverviewEntry">
    <w:name w:val="WSC Overview Entry"/>
    <w:basedOn w:val="Normal"/>
    <w:pPr>
      <w:keepLines/>
      <w:spacing w:after="70" w:line="259" w:lineRule="auto"/>
      <w:ind w:left="113" w:hanging="113"/>
    </w:pPr>
    <w:rPr>
      <w:rFonts w:ascii="Georgia" w:hAnsi="Georgia" w:eastAsia="Georgia" w:cs="Georgia"/>
      <w:color w:val="412A17"/>
      <w:sz w:val="18"/>
      <w:lang w:val="en-US"/>
    </w:rPr>
  </w:style>
  <w:style w:type="paragraph" w:customStyle="1" w:styleId="WSCSourceNote">
    <w:name w:val="WSC Source Note"/>
    <w:basedOn w:val="Normal"/>
    <w:pPr>
      <w:spacing w:before="80" w:after="100" w:line="259" w:lineRule="auto"/>
      <w:ind w:left="170" w:right="57"/>
    </w:pPr>
    <w:rPr>
      <w:rFonts w:ascii="Georgia" w:hAnsi="Georgia" w:eastAsia="Georgia" w:cs="Georgia"/>
      <w:color w:val="6D5238"/>
      <w:sz w:val="17"/>
      <w:lang w:val="en-US"/>
    </w:rPr>
  </w:style>
  <w:style w:type="paragraph" w:customStyle="1" w:styleId="WSCPitfall">
    <w:name w:val="WSC Pitfall"/>
    <w:basedOn w:val="Normal"/>
    <w:pPr>
      <w:spacing w:before="140" w:after="160" w:line="283" w:lineRule="auto"/>
      <w:ind w:left="227" w:right="113"/>
    </w:pPr>
    <w:rPr>
      <w:rFonts w:ascii="Georgia" w:hAnsi="Georgia" w:eastAsia="Georgia" w:cs="Georgia"/>
      <w:color w:val="412A17"/>
      <w:sz w:val="19"/>
      <w:lang w:val="en-US"/>
    </w:rPr>
  </w:style>
  <w:style w:type="paragraph" w:customStyle="1" w:styleId="WSCStudyQuestion">
    <w:name w:val="WSC Study Question"/>
    <w:basedOn w:val="Normal"/>
    <w:pPr>
      <w:spacing w:before="160" w:after="200" w:line="283" w:lineRule="auto"/>
      <w:ind w:left="227" w:right="113"/>
    </w:pPr>
    <w:rPr>
      <w:rFonts w:ascii="Georgia" w:hAnsi="Georgia" w:eastAsia="Georgia" w:cs="Georgia"/>
      <w:i/>
      <w:color w:val="412A17"/>
      <w:sz w:val="20"/>
      <w:lang w:val="en-US"/>
    </w:rPr>
  </w:style>
  <w:style w:type="character" w:customStyle="1" w:styleId="WSCLink">
    <w:name w:val="WSC Link"/>
    <w:rPr>
      <w:rFonts w:ascii="Georgia" w:hAnsi="Georgia" w:eastAsia="Georgia" w:cs="Georgia"/>
      <w:color w:val="825F1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artsandculture.google.com/asset/portrait-of-lisa-gherardini-wife-of-francesco-del-giocondo-known-as-monna-lisa-la-gioconda-or-mona-lisa-1503-1519-leonardo-di-ser-piero-da-vinci-dit-l%C3%A9onard-de-vinci-1452-1519-paris-mus%C3%A9e-du-louvre/uQGZ28lYUJ3OGw?hl=en" TargetMode="External"/><Relationship Id="rId13" Type="http://schemas.openxmlformats.org/officeDocument/2006/relationships/hyperlink" Target="https://commons.wikimedia.org/wiki/File:Isleworthml.JPG" TargetMode="External"/><Relationship Id="rId14" Type="http://schemas.openxmlformats.org/officeDocument/2006/relationships/hyperlink" Target="https://mci.si.edu/node/1287640" TargetMode="External"/><Relationship Id="rId15" Type="http://schemas.openxmlformats.org/officeDocument/2006/relationships/hyperlink" Target="https://www.nationalgallery.org.uk/paintings/glossary/pouncing" TargetMode="External"/><Relationship Id="rId16" Type="http://schemas.openxmlformats.org/officeDocument/2006/relationships/hyperlink" Target="https://www.nationalgallery.org.uk/research/publications/studying-raphael/studying-raphael-drawings-and-cartoons" TargetMode="External"/><Relationship Id="rId17" Type="http://schemas.openxmlformats.org/officeDocument/2006/relationships/hyperlink" Target="https://artsandculture.google.com/asset/KwF-AdF1REQl6w" TargetMode="External"/><Relationship Id="rId18" Type="http://schemas.openxmlformats.org/officeDocument/2006/relationships/hyperlink" Target="https://www.artic.edu/artworks/28560/the-bedroom" TargetMode="External"/><Relationship Id="rId19" Type="http://schemas.openxmlformats.org/officeDocument/2006/relationships/hyperlink" Target="https://artsandculture.google.com/asset/kQEugEsNjGDZfw" TargetMode="External"/><Relationship Id="rId20" Type="http://schemas.openxmlformats.org/officeDocument/2006/relationships/hyperlink" Target="https://archive.artic.edu/van-gogh-bedrooms/about-paintings" TargetMode="External"/><Relationship Id="rId21" Type="http://schemas.openxmlformats.org/officeDocument/2006/relationships/hyperlink" Target="https://www.modernamuseet.se/stockholm/en/exhibitions/munch-by-himself/i-felt-the-great-scream-through-nature/" TargetMode="External"/><Relationship Id="rId22" Type="http://schemas.openxmlformats.org/officeDocument/2006/relationships/hyperlink" Target="https://www.nasjonalmuseet.no/en/collection/object/NG.M.00939" TargetMode="External"/><Relationship Id="rId23" Type="http://schemas.openxmlformats.org/officeDocument/2006/relationships/hyperlink" Target="https://www.moma.org/collection/works/79124" TargetMode="External"/><Relationship Id="rId24" Type="http://schemas.openxmlformats.org/officeDocument/2006/relationships/hyperlink" Target="https://www.wikiart.org/en/henri-matisse/dance-ii-1910" TargetMode="External"/><Relationship Id="rId25" Type="http://schemas.openxmlformats.org/officeDocument/2006/relationships/hyperlink" Target="https://www.hermitagemuseum.org/digital-collection/28411/?lng=en" TargetMode="External"/><Relationship Id="rId26" Type="http://schemas.openxmlformats.org/officeDocument/2006/relationships/hyperlink" Target="https://www.moma.org/explore/inside_out/2014/11/11/matisse-the-same-thing-different-means/" TargetMode="External"/><Relationship Id="rId27" Type="http://schemas.openxmlformats.org/officeDocument/2006/relationships/hyperlink" Target="https://www.youtube.com/watch?v=9Zwe1C1G2ak" TargetMode="External"/><Relationship Id="rId28" Type="http://schemas.openxmlformats.org/officeDocument/2006/relationships/hyperlink" Target="https://www.thebeatles.com/strawberry-fields-forever-0" TargetMode="External"/><Relationship Id="rId29" Type="http://schemas.openxmlformats.org/officeDocument/2006/relationships/hyperlink" Target="https://www.youtube.com/watch?v=sf0qfktF44A" TargetMode="External"/><Relationship Id="rId30" Type="http://schemas.openxmlformats.org/officeDocument/2006/relationships/hyperlink" Target="https://www.lmmarchive.org/archive/2013-2015/2015" TargetMode="External"/><Relationship Id="rId31" Type="http://schemas.openxmlformats.org/officeDocument/2006/relationships/hyperlink" Target="https://www.youtube.com/watch?v=BXGr0olrThk" TargetMode="External"/><Relationship Id="rId32" Type="http://schemas.openxmlformats.org/officeDocument/2006/relationships/hyperlink" Target="https://www.youtube.com/watch?v=FxEX_GWwE7M" TargetMode="External"/><Relationship Id="rId33" Type="http://schemas.openxmlformats.org/officeDocument/2006/relationships/hyperlink" Target="https://www.vanityfair.com/video/watch/on-the-process-how-ejae-and-mark-sonnenblick-created-golden-from-kpop-demon-hunters" TargetMode="External"/><Relationship Id="rId34" Type="http://schemas.openxmlformats.org/officeDocument/2006/relationships/hyperlink" Target="https://www.thebeatles.com/beatles-anthology-0" TargetMode="External"/><Relationship Id="rId35" Type="http://schemas.openxmlformats.org/officeDocument/2006/relationships/hyperlink" Target="https://playbill.com/article/watch-beetlejuices-sophia-anne-caruso-sing-lydias-anthem-in-dead-mom-music-video" TargetMode="External"/><Relationship Id="rId36" Type="http://schemas.openxmlformats.org/officeDocument/2006/relationships/hyperlink" Target="https://www.oscars.org/oscars/ceremonies/2026" TargetMode="External"/><Relationship Id="rId37" Type="http://schemas.openxmlformats.org/officeDocument/2006/relationships/hyperlink" Target="https://www.youtube.com/watch?v=W9ePWzAxO-s" TargetMode="External"/><Relationship Id="rId38" Type="http://schemas.openxmlformats.org/officeDocument/2006/relationships/hyperlink" Target="https://www.alanmenken.com/work/aladdin" TargetMode="External"/><Relationship Id="rId39" Type="http://schemas.openxmlformats.org/officeDocument/2006/relationships/hyperlink" Target="https://www.youtube.com/watch?v=r_j4ALKLrOk" TargetMode="External"/><Relationship Id="rId40" Type="http://schemas.openxmlformats.org/officeDocument/2006/relationships/hyperlink" Target="https://www.youtube.com/watch?v=txG99YiQcNk" TargetMode="External"/><Relationship Id="rId41" Type="http://schemas.openxmlformats.org/officeDocument/2006/relationships/hyperlink" Target="https://www.youtube.com/watch?v=cvf1ETgCMN4" TargetMode="External"/><Relationship Id="rId42" Type="http://schemas.openxmlformats.org/officeDocument/2006/relationships/hyperlink" Target="https://stephenschwartz.com/wp-content/uploads/2017/05/Disney-Pocahontas.pdf" TargetMode="External"/><Relationship Id="rId43" Type="http://schemas.openxmlformats.org/officeDocument/2006/relationships/hyperlink" Target="https://playbill.com/article/watch-benj-pasek-and-justin-paul-perform-a-cut-song-from-dear-evan-hansen" TargetMode="External"/><Relationship Id="rId44" Type="http://schemas.openxmlformats.org/officeDocument/2006/relationships/hyperlink" Target="https://pubmed.ncbi.nlm.nih.gov/30098990/" TargetMode="External"/><Relationship Id="rId45" Type="http://schemas.openxmlformats.org/officeDocument/2006/relationships/hyperlink" Target="https://pmc.ncbi.nlm.nih.gov/articles/PMC6581736/" TargetMode="External"/><Relationship Id="rId46" Type="http://schemas.openxmlformats.org/officeDocument/2006/relationships/hyperlink" Target="https://pmc.ncbi.nlm.nih.gov/articles/PMC8500882/" TargetMode="External"/><Relationship Id="rId47" Type="http://schemas.openxmlformats.org/officeDocument/2006/relationships/hyperlink" Target="https://pubmed.ncbi.nlm.nih.gov/22142953/" TargetMode="External"/><Relationship Id="rId48" Type="http://schemas.openxmlformats.org/officeDocument/2006/relationships/hyperlink" Target="https://pmc.ncbi.nlm.nih.gov/articles/PMC11078833/" TargetMode="External"/><Relationship Id="rId49" Type="http://schemas.openxmlformats.org/officeDocument/2006/relationships/hyperlink" Target="https://pubmed.ncbi.nlm.nih.gov/40684972/" TargetMode="External"/><Relationship Id="rId50" Type="http://schemas.openxmlformats.org/officeDocument/2006/relationships/hyperlink" Target="https://pubmed.ncbi.nlm.nih.gov/39818123/" TargetMode="External"/><Relationship Id="rId51" Type="http://schemas.openxmlformats.org/officeDocument/2006/relationships/hyperlink" Target="https://www.scholarscup.org/subjects/2026/guiding-202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There’s a Draft in Here</dc:title>
  <dc:subject>World Scholar's Cup 2026 long-form curriculum guide</dc:subject>
  <dc:creator>WSCapp</dc:creator>
  <cp:keywords>WSCapp, World Scholar's Cup, 2026, study guide</cp:keywords>
  <dc:description>Generated from the semantic guide.html source.</dc:description>
  <cp:lastModifiedBy>WSCapp</cp:lastModifiedBy>
  <cp:revision>1</cp:revision>
  <dcterms:created xsi:type="dcterms:W3CDTF">2026-07-14T00:00:00Z</dcterms:created>
  <dcterms:modified xsi:type="dcterms:W3CDTF">2026-07-14T00:00:00Z</dcterms:modified>
  <cp:category/>
</cp:coreProperties>
</file>