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We’re All in This to Get There</w:t>
      </w:r>
    </w:p>
    <w:p>
      <w:pPr>
        <w:pStyle w:val="WSCSubtitle"/>
        <w:pBdr>
          <w:bottom w:val="single" w:sz="10" w:space="8" w:color="C89C44"/>
        </w:pBdr>
      </w:pPr>
      <w:r>
        <w:rPr>
          <w:b w:val="0"/>
          <w:i w:val="0"/>
        </w:rPr>
        <w:t>A destination shared by many people is never reached by intention alone. This guide follows the schedules, compromises, feedback loops, power structures, and human limits that turn a collective ambition into a finished result.</w:t>
      </w:r>
    </w:p>
    <w:p>
      <w:pPr>
        <w:pStyle w:val="Heading1"/>
        <w:pBdr>
          <w:bottom w:val="single" w:sz="9" w:space="5" w:color="C89C44"/>
        </w:pBdr>
      </w:pPr>
      <w:r>
        <w:rPr>
          <w:b w:val="0"/>
          <w:i w:val="0"/>
        </w:rPr>
        <w:t>Reading the section as a history of coordinated effort</w:t>
      </w:r>
    </w:p>
    <w:p>
      <w:pPr/>
      <w:r>
        <w:rPr>
          <w:b w:val="0"/>
          <w:i w:val="0"/>
        </w:rPr>
        <w:t>A project begins when a desired future is divided into work that people can actually do. Someone must decide what counts as completion, which task comes first, who has authority, which risks deserve attention, and what can be sacrificed when the original promise meets reality. Those decisions may be recorded in a stone-yard ledger, a wall chart, a software board, or an algorithmic dashboard. The tools change, but the central difficulty does not: many people, materials, and institutions have to arrive together.</w:t>
      </w:r>
    </w:p>
    <w:p>
      <w:pPr/>
      <w:r>
        <w:rPr>
          <w:b w:val="0"/>
          <w:i w:val="0"/>
        </w:rPr>
        <w:t>The title’s word “all” is therefore demanding. A cathedral can reach the skyline while generations of builders never see its completion. An airport can open while taxpayers, contractors, and travellers experience very different costs. A company can hit a productivity target while workers lose control over the pace of their day. A project may be on time according to one measure and profoundly late according to another. Throughout this section, ask whose destination defines success and whose effort disappears inside the finished object.</w:t>
      </w:r>
    </w:p>
    <w:p>
      <w:pPr/>
      <w:r>
        <w:rPr>
          <w:b w:val="0"/>
          <w:i w:val="0"/>
        </w:rPr>
        <w:t>The official links are part of that investigation. They supply the histories that the short prompts cannot contain: a basilica whose changing completion date carries symbolic weight, a capital-city plan exposed to political change, a management chart that turns time into bars, an early text that treats labour as measurable motion, and a contemporary account of digital monitoring. Read each linked source for its mechanism, not just its headline. The aim is to learn how to analyse an unfamiliar project in an official round, even when that project was not named in this guide.</w:t>
      </w:r>
    </w:p>
    <w:p>
      <w:pPr>
        <w:pStyle w:val="Heading1"/>
        <w:pageBreakBefore/>
        <w:pBdr>
          <w:bottom w:val="single" w:sz="9" w:space="5" w:color="C89C44"/>
        </w:pBdr>
      </w:pPr>
      <w:r>
        <w:rPr>
          <w:b w:val="0"/>
          <w:i w:val="0"/>
        </w:rPr>
        <w:t>Chapter 1 - Why collective action is harder than shared language</w:t>
      </w:r>
    </w:p>
    <w:p>
      <w:pPr/>
      <w:r>
        <w:rPr>
          <w:b w:val="0"/>
          <w:i w:val="0"/>
        </w:rPr>
        <w:t>“Let us build it” sounds like one decision. A megaproject is thousands of decisions distributed across years or centuries. Land has to be acquired, designs approved, money released, materials delivered, specialists retained, laws obeyed, and political support renewed. Each step depends on other steps, and every participant sees only part of the whole. That is why spectacular delays are more useful as comparisons than as a gallery of failures. They reveal different ways in which coordination can break.</w:t>
      </w:r>
    </w:p>
    <w:p>
      <w:pPr>
        <w:pStyle w:val="Heading2"/>
      </w:pPr>
      <w:r>
        <w:rPr>
          <w:b w:val="0"/>
          <w:i w:val="0"/>
        </w:rPr>
        <w:t>Seven unfinished routes, seven different clocks</w:t>
      </w:r>
    </w:p>
    <w:p>
      <w:pPr/>
      <w:r>
        <w:rPr>
          <w:b w:val="0"/>
          <w:i w:val="0"/>
        </w:rPr>
        <w:t xml:space="preserve">Barcelona’s Sagrada Familia is a project whose long duration has become part of its identity. Construction began in 1882, Antoni Gaudí took over the design the following year, and work continued through his death, the Spanish Civil War, changing techniques, and dependence on private donations and visitor revenue. The curriculum’s </w:t>
      </w:r>
      <w:hyperlink r:id="rId12">
        <w:r>
          <w:rPr>
            <w:rStyle w:val="WSCLink"/>
            <w:rFonts w:ascii="Georgia" w:hAnsi="Georgia" w:eastAsia="Georgia" w:cs="Georgia"/>
            <w:color w:val="825F1F"/>
            <w:u w:val="single"/>
          </w:rPr>
          <w:t>Sagrada Familia report (L066)</w:t>
        </w:r>
      </w:hyperlink>
      <w:r>
        <w:rPr>
          <w:b w:val="0"/>
          <w:i w:val="0"/>
        </w:rPr>
        <w:t xml:space="preserve"> presents 2026 as a planned completion year for the main basilica. Scholars should treat that date carefully. “Complete” may refer to the principal structure while later decorative or access work remains, and public timetables can change. The useful lesson is not simply that the building took a long time. Its funding model, artistic ambition, interrupted history, and symbolic status made its clock unlike that of a commercial office block.</w:t>
      </w:r>
    </w:p>
    <w:p>
      <w:pPr/>
      <w:r>
        <w:rPr>
          <w:b w:val="0"/>
          <w:i w:val="0"/>
        </w:rPr>
        <w:t xml:space="preserve">Indonesia’s planned capital, Nusantara, has a different kind of unstable clock. Moving national institutions from Jakarta requires roads, water, housing, offices, investment, civil servants, and political commitment across several administrations. The linked </w:t>
      </w:r>
      <w:hyperlink r:id="rId13">
        <w:r>
          <w:rPr>
            <w:rStyle w:val="WSCLink"/>
            <w:rFonts w:ascii="Georgia" w:hAnsi="Georgia" w:eastAsia="Georgia" w:cs="Georgia"/>
            <w:color w:val="825F1F"/>
            <w:u w:val="single"/>
          </w:rPr>
          <w:t>Asia Times analysis of Nusantara (L067)</w:t>
        </w:r>
      </w:hyperlink>
      <w:r>
        <w:rPr>
          <w:b w:val="0"/>
          <w:i w:val="0"/>
        </w:rPr>
        <w:t xml:space="preserve"> focuses on political forgetting: a flagship associated with one leader may lose urgency under the next. That does not make the project equivalent to a cathedral. It shows that continuity is itself a project resource. Concrete can remain in place while the coalition needed to finish the plan dissolves.</w:t>
      </w:r>
    </w:p>
    <w:p>
      <w:pPr/>
      <w:r>
        <w:rPr>
          <w:b w:val="0"/>
          <w:i w:val="0"/>
        </w:rPr>
        <w:t>The Ryugyong Hotel in Pyongyang began as a monumental expression of national ambition, then stood externally unfinished after North Korea’s economic crisis disrupted work. Wonderland Amusement Park outside Beijing became a photographed ruin after land and financing disputes halted a scheme intended to rival major theme parks. Berlin Brandenburg Airport eventually opened in 2020, years after its planned 2011 opening, following problems involving fire safety, design changes, oversight, and technical integration. Milan Cathedral took nearly six centuries because changing styles, rulers, technologies, and generations kept reshaping the work. Each case warns against using “bad planning” as a complete explanation. A scholar should identify the particular dependency that failed and the institution that was supposed to manage it.</w:t>
      </w:r>
    </w:p>
    <w:p>
      <w:pPr/>
      <w:r>
        <w:rPr>
          <w:b w:val="0"/>
          <w:i w:val="0"/>
        </w:rPr>
        <w:t xml:space="preserve">The Crazy Horse Memorial adds an ethical question. Work began in 1948 on a vast mountain carving in South Dakota. The </w:t>
      </w:r>
      <w:hyperlink r:id="rId14">
        <w:r>
          <w:rPr>
            <w:rStyle w:val="WSCLink"/>
            <w:rFonts w:ascii="Georgia" w:hAnsi="Georgia" w:eastAsia="Georgia" w:cs="Georgia"/>
            <w:color w:val="825F1F"/>
            <w:u w:val="single"/>
          </w:rPr>
          <w:t>linked history of the memorial (L068)</w:t>
        </w:r>
      </w:hyperlink>
      <w:r>
        <w:rPr>
          <w:b w:val="0"/>
          <w:i w:val="0"/>
        </w:rPr>
        <w:t xml:space="preserve"> describes slow progress under a private, donation-supported model. Yet duration is only one issue. The project has also prompted debate about representing an Oglala Lakota leader by carving a mountain, about consultation, and about what kind of completion would honour the person invoked. A technically finished monument would not settle those disagreements. When purpose is contested, project management cannot manufacture agreement by scheduling it.</w:t>
      </w:r>
    </w:p>
    <w:p>
      <w:pPr>
        <w:pStyle w:val="Heading2"/>
      </w:pPr>
      <w:r>
        <w:rPr>
          <w:b w:val="0"/>
          <w:i w:val="0"/>
        </w:rPr>
        <w:t>Management existed before managers had a profession</w:t>
      </w:r>
    </w:p>
    <w:p>
      <w:pPr/>
      <w:r>
        <w:rPr>
          <w:b w:val="0"/>
          <w:i w:val="0"/>
        </w:rPr>
        <w:t xml:space="preserve">The official prompt moves from delayed monuments to the </w:t>
      </w:r>
      <w:hyperlink r:id="rId15">
        <w:r>
          <w:rPr>
            <w:rStyle w:val="WSCLink"/>
            <w:rFonts w:ascii="Georgia" w:hAnsi="Georgia" w:eastAsia="Georgia" w:cs="Georgia"/>
            <w:color w:val="825F1F"/>
            <w:u w:val="single"/>
          </w:rPr>
          <w:t>history of project management (L069)</w:t>
        </w:r>
      </w:hyperlink>
      <w:r>
        <w:rPr>
          <w:b w:val="0"/>
          <w:i w:val="0"/>
        </w:rPr>
        <w:t>. That history is useful if we avoid an easy anachronism. Pyramid builders did not use modern job titles, software, or the same employment relationships as a contemporary engineering firm. They nevertheless had to quarry, transport, feed, house, measure, sequence, and supervise. Roman roads required surveying, standards, labour, materials, and maintenance across territory. Medieval cathedrals relied on patrons, master masons, craft knowledge, workshops, contracts, and long chains of supply.</w:t>
      </w:r>
    </w:p>
    <w:p>
      <w:pPr/>
      <w:r>
        <w:rPr>
          <w:b w:val="0"/>
          <w:i w:val="0"/>
        </w:rPr>
        <w:t>Modern project management made some of this coordination explicit and portable. Industrial organisations separated planning from execution, created specialised management roles, and developed charts and quantitative methods that could travel from one industry to another. The gain was legibility: leaders could compare tasks, deadlines, and resources across a large operation. The danger was historical arrogance. Ancient and pre-industrial builders possessed sophisticated local knowledge even when it was not expressed as a universal method. They also worked under political and labour arrangements that would be unacceptable in many societies today.</w:t>
      </w:r>
    </w:p>
    <w:p>
      <w:pPr/>
      <w:r>
        <w:rPr>
          <w:b w:val="0"/>
          <w:i w:val="0"/>
        </w:rPr>
        <w:t>Are megaprojects harder now? Modern engineers have machines, modelling, global supply chains, safety science, and communication systems unavailable to earlier builders. At the same time, contemporary projects face dense regulation, public accountability, environmental review, complex software, interdependent subcontractors, and citizens who can organise against harmful decisions. “Harder” depends on what is counted. It may be easier to lift stone and harder to secure legitimate consent. A strong comparison names both the added capability and the added obligation.</w:t>
      </w:r>
    </w:p>
    <w:p>
      <w:pPr>
        <w:pStyle w:val="Heading2"/>
      </w:pPr>
      <w:r>
        <w:rPr>
          <w:b w:val="0"/>
          <w:i w:val="0"/>
        </w:rPr>
        <w:t>A method for diagnosing delay</w:t>
      </w:r>
    </w:p>
    <w:p>
      <w:pPr/>
      <w:r>
        <w:rPr>
          <w:b w:val="0"/>
          <w:i w:val="0"/>
        </w:rPr>
        <w:t>When a new delayed project appears in a question, begin with the promised destination and baseline date. Then separate technical difficulty from financial interruption, political turnover, regulatory failure, supply constraints, changing scope, and public opposition. Ask whether the delay comes from a single bottleneck or a chain reaction. Finally, distinguish delay from abandonment. A project can move slowly while remaining institutionally alive, or look active while its original purpose has quietly vanished.</w:t>
      </w:r>
    </w:p>
    <w:p>
      <w:pPr/>
      <w:r>
        <w:rPr>
          <w:b w:val="0"/>
          <w:i w:val="0"/>
        </w:rPr>
        <w:t>This approach explains why the seven projects should not be reduced to one moral about patience. Long duration can preserve an extraordinary ambition, expose an unrealistic promise, protect safety through necessary review, or lock resources into a plan that no longer deserves completion. “Are we there yet?” becomes a governance question: who may revise the destination when the journey lasts longer than the people who began it?</w:t>
      </w:r>
    </w:p>
    <w:p>
      <w:pPr>
        <w:pStyle w:val="WSCSourceNote"/>
        <w:shd w:fill="F7EACC" w:val="clear"/>
        <w:pBdr>
          <w:left w:val="single" w:sz="14" w:space="6" w:color="C89C44"/>
        </w:pBdr>
      </w:pPr>
      <w:r>
        <w:rPr>
          <w:b/>
          <w:i w:val="0"/>
        </w:rPr>
        <w:t>Sources for this chapter:</w:t>
      </w:r>
      <w:r>
        <w:rPr>
          <w:b w:val="0"/>
          <w:i w:val="0"/>
        </w:rPr>
        <w:t xml:space="preserve"> official curriculum links on </w:t>
      </w:r>
      <w:hyperlink r:id="rId12">
        <w:r>
          <w:rPr>
            <w:rStyle w:val="WSCLink"/>
            <w:rFonts w:ascii="Georgia" w:hAnsi="Georgia" w:eastAsia="Georgia" w:cs="Georgia"/>
            <w:color w:val="825F1F"/>
            <w:u w:val="single"/>
          </w:rPr>
          <w:t>Sagrada Familia (L066)</w:t>
        </w:r>
      </w:hyperlink>
      <w:r>
        <w:rPr>
          <w:b w:val="0"/>
          <w:i w:val="0"/>
        </w:rPr>
        <w:t xml:space="preserve">, </w:t>
      </w:r>
      <w:hyperlink r:id="rId13">
        <w:r>
          <w:rPr>
            <w:rStyle w:val="WSCLink"/>
            <w:rFonts w:ascii="Georgia" w:hAnsi="Georgia" w:eastAsia="Georgia" w:cs="Georgia"/>
            <w:color w:val="825F1F"/>
            <w:u w:val="single"/>
          </w:rPr>
          <w:t>Nusantara (L067)</w:t>
        </w:r>
      </w:hyperlink>
      <w:r>
        <w:rPr>
          <w:b w:val="0"/>
          <w:i w:val="0"/>
        </w:rPr>
        <w:t xml:space="preserve">, the </w:t>
      </w:r>
      <w:hyperlink r:id="rId14">
        <w:r>
          <w:rPr>
            <w:rStyle w:val="WSCLink"/>
            <w:rFonts w:ascii="Georgia" w:hAnsi="Georgia" w:eastAsia="Georgia" w:cs="Georgia"/>
            <w:color w:val="825F1F"/>
            <w:u w:val="single"/>
          </w:rPr>
          <w:t>Crazy Horse Memorial (L068)</w:t>
        </w:r>
      </w:hyperlink>
      <w:r>
        <w:rPr>
          <w:b w:val="0"/>
          <w:i w:val="0"/>
        </w:rPr>
        <w:t xml:space="preserve">, and the linked </w:t>
      </w:r>
      <w:hyperlink r:id="rId15">
        <w:r>
          <w:rPr>
            <w:rStyle w:val="WSCLink"/>
            <w:rFonts w:ascii="Georgia" w:hAnsi="Georgia" w:eastAsia="Georgia" w:cs="Georgia"/>
            <w:color w:val="825F1F"/>
            <w:u w:val="single"/>
          </w:rPr>
          <w:t>project-management timeline (L069)</w:t>
        </w:r>
      </w:hyperlink>
      <w:r>
        <w:rPr>
          <w:b w:val="0"/>
          <w:i w:val="0"/>
        </w:rPr>
        <w:t>. These links establish different histories of delay; the comparisons above distinguish documented facts from interpretation.</w:t>
      </w:r>
    </w:p>
    <w:p>
      <w:pPr>
        <w:pStyle w:val="Heading1"/>
        <w:pageBreakBefore/>
        <w:pBdr>
          <w:bottom w:val="single" w:sz="9" w:space="5" w:color="C89C44"/>
        </w:pBdr>
      </w:pPr>
      <w:r>
        <w:rPr>
          <w:b w:val="0"/>
          <w:i w:val="0"/>
        </w:rPr>
        <w:t>Chapter 2 - Dependencies and bottlenecks</w:t>
      </w:r>
    </w:p>
    <w:p>
      <w:pPr/>
      <w:r>
        <w:rPr>
          <w:b w:val="0"/>
          <w:i w:val="0"/>
        </w:rPr>
        <w:t>A project becomes easier to discuss when its work is made visible. Visibility, however, is not control. A chart can show that foundations precede walls, but it cannot guarantee the soil will behave as predicted. It can place “obtain approval” inside a coloured bar, but it cannot display every political conflict inside the approval. The second branch studies management tools as maps: valuable because they simplify, dangerous when users forget that a simplification has left something out.</w:t>
      </w:r>
    </w:p>
    <w:p>
      <w:pPr>
        <w:pStyle w:val="Heading2"/>
      </w:pPr>
      <w:r>
        <w:rPr>
          <w:b w:val="0"/>
          <w:i w:val="0"/>
        </w:rPr>
        <w:t>What a Gantt chart actually says</w:t>
      </w:r>
    </w:p>
    <w:p>
      <w:pPr/>
      <w:r>
        <w:rPr>
          <w:b w:val="0"/>
          <w:i w:val="0"/>
        </w:rPr>
        <w:t>A Gantt chart places tasks on a horizontal timeline. The length and position of each bar indicate planned duration and dates. Parallel bars show work that can proceed at the same time. Dependencies show that one task cannot begin, or cannot finish, until another reaches a required point. A baseline preserves the approved plan so actual progress can later be compared with it. Milestones mark significant events without pretending that the milestone itself consumes time.</w:t>
      </w:r>
    </w:p>
    <w:p>
      <w:pPr/>
      <w:r>
        <w:rPr>
          <w:b w:val="0"/>
          <w:i w:val="0"/>
        </w:rPr>
        <w:t xml:space="preserve">The curriculum’s </w:t>
      </w:r>
      <w:hyperlink r:id="rId16">
        <w:r>
          <w:rPr>
            <w:rStyle w:val="WSCLink"/>
            <w:rFonts w:ascii="Georgia" w:hAnsi="Georgia" w:eastAsia="Georgia" w:cs="Georgia"/>
            <w:color w:val="825F1F"/>
            <w:u w:val="single"/>
          </w:rPr>
          <w:t>Gantt chart introduction (L070)</w:t>
        </w:r>
      </w:hyperlink>
      <w:r>
        <w:rPr>
          <w:b w:val="0"/>
          <w:i w:val="0"/>
        </w:rPr>
        <w:t xml:space="preserve"> explains these familiar functions. The form is associated with Henry Gantt, although earlier visual schedules and Karol Adamiecki’s harmonogram complicate any one-person invention story. Gantt’s charts became influential in large industrial and public projects, and their use around work such as the Hoover Dam helped establish the timeline as a language managers, engineers, and officials could share.</w:t>
      </w:r>
    </w:p>
    <w:p>
      <w:pPr/>
      <w:r>
        <w:rPr>
          <w:b w:val="0"/>
          <w:i w:val="0"/>
        </w:rPr>
        <w:t>The chart’s strength is cognitive. A list tells a team what exists; a timeline reveals sequence and collision. If turbines cannot be installed until concrete work reaches a particular stage, the dependency becomes visible. If two specialist crews are required in different places at the same time, a resource conflict becomes easier to spot. If a delayed task lies on a chain with no spare time, managers can see why a small slip threatens the completion date.</w:t>
      </w:r>
    </w:p>
    <w:p>
      <w:pPr>
        <w:pStyle w:val="Heading2"/>
      </w:pPr>
      <w:r>
        <w:rPr>
          <w:b w:val="0"/>
          <w:i w:val="0"/>
        </w:rPr>
        <w:t>The reality that does not fit in a bar</w:t>
      </w:r>
    </w:p>
    <w:p>
      <w:pPr/>
      <w:r>
        <w:rPr>
          <w:b w:val="0"/>
          <w:i w:val="0"/>
        </w:rPr>
        <w:t>Every bar contains a theory about duration. That theory may come from experience, negotiation, optimism, or pressure from above. The same graphic appearance can conceal very different confidence levels. “Twelve weeks” may be a stable estimate repeated across hundreds of similar jobs, or a hopeful number assigned to an unprecedented technical problem. Unless uncertainty is recorded elsewhere, the chart makes both look equally solid.</w:t>
      </w:r>
    </w:p>
    <w:p>
      <w:pPr/>
      <w:r>
        <w:rPr>
          <w:b w:val="0"/>
          <w:i w:val="0"/>
        </w:rPr>
        <w:t>It also hides texture. A task may be 80 percent complete by volume but missing the one component that allows everything after it to begin. Workers may be exhausted, a community may oppose the route, or a contractor may be meeting visible milestones by postponing quality problems. The chart often treats people as available units and approval as an event. Reality includes morale, learning, conflict, weather, accidents, rework, and unequal power.</w:t>
      </w:r>
    </w:p>
    <w:p>
      <w:pPr/>
      <w:r>
        <w:rPr>
          <w:b w:val="0"/>
          <w:i w:val="0"/>
        </w:rPr>
        <w:t>This does not mean scholars should reject the tool. It means they should ask what other records the project needs. A risk register names uncertain events, estimates probability and impact, assigns responsibility, and records a response. A dependency map shows relationships that a simple list misses. Regular reviews allow estimates to change when evidence changes. A good manager uses the neat chart to organise conversation, not to end it.</w:t>
      </w:r>
    </w:p>
    <w:p>
      <w:pPr>
        <w:pStyle w:val="Heading2"/>
      </w:pPr>
      <w:r>
        <w:rPr>
          <w:b w:val="0"/>
          <w:i w:val="0"/>
        </w:rPr>
        <w:t>The iron triangle is a pressure model, not a law of nature</w:t>
      </w:r>
    </w:p>
    <w:p>
      <w:pPr/>
      <w:r>
        <w:rPr>
          <w:b w:val="0"/>
          <w:i w:val="0"/>
        </w:rPr>
        <w:t>The iron triangle connects scope, time, and cost. Add features or scale while holding the deadline, and more money or resources may be required. Cut the budget while holding the scope, and the schedule may lengthen or quality may suffer. The triangle is useful because it prevents magical promises in which a project becomes larger, faster, and cheaper without any changed assumption.</w:t>
      </w:r>
    </w:p>
    <w:p>
      <w:pPr/>
      <w:r>
        <w:rPr>
          <w:b w:val="0"/>
          <w:i w:val="0"/>
        </w:rPr>
        <w:t>Yet “choose two” is too rigid. Quality, safety, environmental impact, learning, and human wellbeing do not disappear merely because the model names three variables. Nor are all costs interchangeable. Hiring more people cannot instantly accelerate work that requires rare expertise or tightly sequenced decisions. A smaller project may be better when it serves users more clearly, a slower one when testing protects lives, and a more expensive one when fair wages or durable materials reduce hidden future costs.</w:t>
      </w:r>
    </w:p>
    <w:p>
      <w:pPr/>
      <w:r>
        <w:rPr>
          <w:b w:val="0"/>
          <w:i w:val="0"/>
        </w:rPr>
        <w:t>The tools in the prompt approach the pressure from different directions. Kanban limits work in progress and makes flow visible. The official Toyota sources in the local curriculum packet describe a signal that authorises replenishment, not simply a colourful to-do board. Critical Path Method calculates the longest dependent chain that determines the earliest completion date. Program Evaluation and Review Technique (PERT) uses estimates to reason about uncertain task duration. A risk register makes threats discussable before they become emergencies. The harmonogram, Gantt chart, and dependency network each turn a different relationship into a visible form.</w:t>
      </w:r>
    </w:p>
    <w:p>
      <w:pPr/>
      <w:r>
        <w:rPr>
          <w:b w:val="0"/>
          <w:i w:val="0"/>
        </w:rPr>
        <w:t xml:space="preserve">These tools can also be used politically. The Stakhanovite movement celebrated Soviet miners and industrial workers who dramatically exceeded production norms, beginning with Alexei Stakhanov’s publicised coal record in 1935. The </w:t>
      </w:r>
      <w:hyperlink r:id="rId17">
        <w:r>
          <w:rPr>
            <w:rStyle w:val="WSCLink"/>
            <w:rFonts w:ascii="Georgia" w:hAnsi="Georgia" w:eastAsia="Georgia" w:cs="Georgia"/>
            <w:color w:val="825F1F"/>
            <w:u w:val="single"/>
          </w:rPr>
          <w:t>background source on Stakhanovism</w:t>
        </w:r>
      </w:hyperlink>
      <w:r>
        <w:rPr>
          <w:b w:val="0"/>
          <w:i w:val="0"/>
        </w:rPr>
        <w:t xml:space="preserve"> shows how exceptional performance became propaganda and pressure for new norms. A number that appears to describe output can prescribe how everyone ought to work, even when conditions behind the model achievement cannot be repeated.</w:t>
      </w:r>
    </w:p>
    <w:p>
      <w:pPr>
        <w:pStyle w:val="Heading2"/>
      </w:pPr>
      <w:r>
        <w:rPr>
          <w:b w:val="0"/>
          <w:i w:val="0"/>
        </w:rPr>
        <w:t>Bottlenecks move when the system changes</w:t>
      </w:r>
    </w:p>
    <w:p>
      <w:pPr/>
      <w:r>
        <w:rPr>
          <w:b w:val="0"/>
          <w:i w:val="0"/>
        </w:rPr>
        <w:t>Imagine a school team producing a research presentation. At first, finding sources is the bottleneck. Adding researchers helps until the group collects material faster than anyone can verify it. Verification then becomes the bottleneck. If the deadline is near, adding slides may increase scope while reducing rehearsal time. A chart can reveal the collision, but the team still needs judgment: cut material, delay delivery, accept lower confidence, or recruit an editor who understands the subject.</w:t>
      </w:r>
    </w:p>
    <w:p>
      <w:pPr/>
      <w:r>
        <w:rPr>
          <w:b w:val="0"/>
          <w:i w:val="0"/>
        </w:rPr>
        <w:t>The same reasoning scales to airports and software releases. Improving one stage often moves congestion somewhere else. Local efficiency is not automatically system progress. The goal is not to keep every person busy every minute; it is to move reliable work through the whole route. That is why a period of apparent idleness can be rational if it prevents excess work from piling up before a constrained stage.</w:t>
      </w:r>
    </w:p>
    <w:p>
      <w:pPr/>
      <w:r>
        <w:rPr>
          <w:b w:val="0"/>
          <w:i w:val="0"/>
        </w:rPr>
        <w:t>In a Challenge question, distinguish the representation from the project. If a source praises a dashboard, ask which decision it improved. If a source criticises scheduling, ask whether the problem was the chart, a false estimate, concealed information, or leadership that punished honest updates. Tools do not remove trade-offs. At their best, they make the trade-offs difficult to hide.</w:t>
      </w:r>
    </w:p>
    <w:p>
      <w:pPr>
        <w:pStyle w:val="WSCSourceNote"/>
        <w:shd w:fill="F7EACC" w:val="clear"/>
        <w:pBdr>
          <w:left w:val="single" w:sz="14" w:space="6" w:color="C89C44"/>
        </w:pBdr>
      </w:pPr>
      <w:r>
        <w:rPr>
          <w:b/>
          <w:i w:val="0"/>
        </w:rPr>
        <w:t>Sources for this chapter:</w:t>
      </w:r>
      <w:r>
        <w:rPr>
          <w:b w:val="0"/>
          <w:i w:val="0"/>
        </w:rPr>
        <w:t xml:space="preserve"> the official </w:t>
      </w:r>
      <w:hyperlink r:id="rId16">
        <w:r>
          <w:rPr>
            <w:rStyle w:val="WSCLink"/>
            <w:rFonts w:ascii="Georgia" w:hAnsi="Georgia" w:eastAsia="Georgia" w:cs="Georgia"/>
            <w:color w:val="825F1F"/>
            <w:u w:val="single"/>
          </w:rPr>
          <w:t>Gantt chart explainer (L070)</w:t>
        </w:r>
      </w:hyperlink>
      <w:r>
        <w:rPr>
          <w:b w:val="0"/>
          <w:i w:val="0"/>
        </w:rPr>
        <w:t xml:space="preserve">, the curriculum packet’s </w:t>
      </w:r>
      <w:hyperlink r:id="rId18">
        <w:r>
          <w:rPr>
            <w:rStyle w:val="WSCLink"/>
            <w:rFonts w:ascii="Georgia" w:hAnsi="Georgia" w:eastAsia="Georgia" w:cs="Georgia"/>
            <w:color w:val="825F1F"/>
            <w:u w:val="single"/>
          </w:rPr>
          <w:t>history of the form</w:t>
        </w:r>
      </w:hyperlink>
      <w:r>
        <w:rPr>
          <w:b w:val="0"/>
          <w:i w:val="0"/>
        </w:rPr>
        <w:t xml:space="preserve">, Toyota’s accounts of </w:t>
      </w:r>
      <w:hyperlink r:id="rId19">
        <w:r>
          <w:rPr>
            <w:rStyle w:val="WSCLink"/>
            <w:rFonts w:ascii="Georgia" w:hAnsi="Georgia" w:eastAsia="Georgia" w:cs="Georgia"/>
            <w:color w:val="825F1F"/>
            <w:u w:val="single"/>
          </w:rPr>
          <w:t>kanban signals</w:t>
        </w:r>
      </w:hyperlink>
      <w:r>
        <w:rPr>
          <w:b w:val="0"/>
          <w:i w:val="0"/>
        </w:rPr>
        <w:t xml:space="preserve"> and the </w:t>
      </w:r>
      <w:hyperlink r:id="rId20">
        <w:r>
          <w:rPr>
            <w:rStyle w:val="WSCLink"/>
            <w:rFonts w:ascii="Georgia" w:hAnsi="Georgia" w:eastAsia="Georgia" w:cs="Georgia"/>
            <w:color w:val="825F1F"/>
            <w:u w:val="single"/>
          </w:rPr>
          <w:t>production system</w:t>
        </w:r>
      </w:hyperlink>
      <w:r>
        <w:rPr>
          <w:b w:val="0"/>
          <w:i w:val="0"/>
        </w:rPr>
        <w:t xml:space="preserve">, and the </w:t>
      </w:r>
      <w:hyperlink r:id="rId17">
        <w:r>
          <w:rPr>
            <w:rStyle w:val="WSCLink"/>
            <w:rFonts w:ascii="Georgia" w:hAnsi="Georgia" w:eastAsia="Georgia" w:cs="Georgia"/>
            <w:color w:val="825F1F"/>
            <w:u w:val="single"/>
          </w:rPr>
          <w:t>Stakhanovite movement overview</w:t>
        </w:r>
      </w:hyperlink>
      <w:r>
        <w:rPr>
          <w:b w:val="0"/>
          <w:i w:val="0"/>
        </w:rPr>
        <w:t>.</w:t>
      </w:r>
    </w:p>
    <w:p>
      <w:pPr>
        <w:pStyle w:val="Heading1"/>
        <w:pageBreakBefore/>
        <w:pBdr>
          <w:bottom w:val="single" w:sz="9" w:space="5" w:color="C89C44"/>
        </w:pBdr>
      </w:pPr>
      <w:r>
        <w:rPr>
          <w:b w:val="0"/>
          <w:i w:val="0"/>
        </w:rPr>
        <w:t>Chapter 3 - Unequal arrival</w:t>
      </w:r>
    </w:p>
    <w:p>
      <w:pPr/>
      <w:r>
        <w:rPr>
          <w:b w:val="0"/>
          <w:i w:val="0"/>
        </w:rPr>
        <w:t>Project language often uses a single voice: “we” are behind schedule, “we” need to reduce cost, “we” have arrived. That grammar can conceal a distribution problem. The sponsor, manager, worker, neighbour, and future user may not share the same benefit or sacrifice. The iron triangle becomes ethically meaningful only when scholars ask where its corners land.</w:t>
      </w:r>
    </w:p>
    <w:p>
      <w:pPr>
        <w:pStyle w:val="Heading2"/>
      </w:pPr>
      <w:r>
        <w:rPr>
          <w:b w:val="0"/>
          <w:i w:val="0"/>
        </w:rPr>
        <w:t>Scope for whom, cost to whom?</w:t>
      </w:r>
    </w:p>
    <w:p>
      <w:pPr/>
      <w:r>
        <w:rPr>
          <w:b w:val="0"/>
          <w:i w:val="0"/>
        </w:rPr>
        <w:t>Suppose a city accelerates a rail line by scheduling night work. Commuters may receive the service earlier, contractors may meet a political deadline, and nearby residents may lose sleep. The project is faster without being costless. The cost has moved out of the financial column and into daily life. Similarly, a cheaper building may save the client money while transferring maintenance costs to future occupants. A smaller public project may protect the budget while excluding the neighbourhood that needed the final extension.</w:t>
      </w:r>
    </w:p>
    <w:p>
      <w:pPr/>
      <w:r>
        <w:rPr>
          <w:b w:val="0"/>
          <w:i w:val="0"/>
        </w:rPr>
        <w:t>This is why stakeholders must be more than names in a communication plan. People have different authority, knowledge, exposure, and ability to refuse. A risk register that records “community opposition” only as a threat to schedule reverses the moral picture: the community may be identifying a real harm. Consultation is not simply a technique for persuading others to accept the route. It can change the destination.</w:t>
      </w:r>
    </w:p>
    <w:p>
      <w:pPr>
        <w:pStyle w:val="Heading2"/>
      </w:pPr>
      <w:r>
        <w:rPr>
          <w:b w:val="0"/>
          <w:i w:val="0"/>
        </w:rPr>
        <w:t>Visible progress can reward the wrong work</w:t>
      </w:r>
    </w:p>
    <w:p>
      <w:pPr/>
      <w:r>
        <w:rPr>
          <w:b w:val="0"/>
          <w:i w:val="0"/>
        </w:rPr>
        <w:t>Managers naturally prefer indicators they can count: metres poured, tickets closed, calls answered, or hours logged. These measures are useful when they correspond to value. They become targets when careers and rewards depend on them, and then people adapt. A software team can close many easy tickets while the dangerous architectural problem remains. A call centre can shorten conversations while leaving customers confused. A student can highlight every paragraph without retrieving a single idea from memory.</w:t>
      </w:r>
    </w:p>
    <w:p>
      <w:pPr/>
      <w:r>
        <w:rPr>
          <w:b w:val="0"/>
          <w:i w:val="0"/>
        </w:rPr>
        <w:t>The Stakhanovite case demonstrates the extreme form. A celebrated output record can inspire, but it can also raise expectations for people working under different conditions and turn measurement into moral judgment. Once the heroic worker defines the norm, anyone who cannot match it may be labelled lazy rather than differently equipped or assigned. What looks like collective acceleration can be unequal pressure.</w:t>
      </w:r>
    </w:p>
    <w:p>
      <w:pPr>
        <w:pStyle w:val="Heading2"/>
      </w:pPr>
      <w:r>
        <w:rPr>
          <w:b w:val="0"/>
          <w:i w:val="0"/>
        </w:rPr>
        <w:t>Slack is not always waste</w:t>
      </w:r>
    </w:p>
    <w:p>
      <w:pPr/>
      <w:r>
        <w:rPr>
          <w:b w:val="0"/>
          <w:i w:val="0"/>
        </w:rPr>
        <w:t>A project designed with no spare time, capacity, or money may look efficient on paper. It is also fragile. Slack allows a system to absorb illness, a delayed shipment, a failed test, or the discovery that users need something different. Hospitals need surge capacity. Teams need time to learn unfamiliar work. Infrastructure needs maintenance windows. Removing every buffer can improve a short-term utilisation number while increasing the probability of a severe delay.</w:t>
      </w:r>
    </w:p>
    <w:p>
      <w:pPr/>
      <w:r>
        <w:rPr>
          <w:b w:val="0"/>
          <w:i w:val="0"/>
        </w:rPr>
        <w:t>This produces a counterintuitive answer to the curriculum’s question about wanting something slower or more expensive. A clinical trial should be slow enough to observe safety. A bridge should be expensive enough to meet structural and labour standards. A school discussion should leave enough time for quieter members to challenge a quick consensus. Speed is a means, not the destination.</w:t>
      </w:r>
    </w:p>
    <w:p>
      <w:pPr/>
      <w:r>
        <w:rPr>
          <w:b w:val="0"/>
          <w:i w:val="0"/>
        </w:rPr>
        <w:t>Project managers sometimes compress a schedule in two ways. “Crashing” adds resources to tasks on the critical path, while “fast-tracking” overlaps work that was originally sequential. Neither creates free time. Crashing can raise cost and coordination overhead; fast-tracking can force rework when an early design changes after construction has begun. The distribution question returns immediately. Senior leaders may receive the celebrated early opening while contractors work unsafe hours or users inherit defects. A responsible acceleration plan names the added risk, identifies who can stop the work, and preserves the tests that protect people.</w:t>
      </w:r>
    </w:p>
    <w:p>
      <w:pPr>
        <w:pStyle w:val="Heading2"/>
      </w:pPr>
      <w:r>
        <w:rPr>
          <w:b w:val="0"/>
          <w:i w:val="0"/>
        </w:rPr>
        <w:t>Completion is sometimes negotiated</w:t>
      </w:r>
    </w:p>
    <w:p>
      <w:pPr/>
      <w:r>
        <w:rPr>
          <w:b w:val="0"/>
          <w:i w:val="0"/>
        </w:rPr>
        <w:t>Formal project definitions often require a sponsor to accept deliverables against stated criteria. In public life, acceptance is rarely so tidy. A road can open before landscaping is complete. A software product can launch as a minimum viable product while support systems are still developing. A memorial can be physically present while disagreement about its meaning continues. The finish line is partly technical and partly social.</w:t>
      </w:r>
    </w:p>
    <w:p>
      <w:pPr/>
      <w:r>
        <w:rPr>
          <w:b w:val="0"/>
          <w:i w:val="0"/>
        </w:rPr>
        <w:t>Minimum viable should therefore be read literally. “Minimum” asks how little can be built while still learning something important. “Viable” asks whether the version can actually serve its purpose for real users. A rushed release that creates harm or cannot be maintained is not automatically an MVP; it may simply be unfinished work renamed as strategy. The people who bear the defects should have a voice in deciding whether the product is ready.</w:t>
      </w:r>
    </w:p>
    <w:p>
      <w:pPr>
        <w:pStyle w:val="Heading2"/>
      </w:pPr>
      <w:r>
        <w:rPr>
          <w:b w:val="0"/>
          <w:i w:val="0"/>
        </w:rPr>
        <w:t>How to read the pronoun “we”</w:t>
      </w:r>
    </w:p>
    <w:p>
      <w:pPr/>
      <w:r>
        <w:rPr>
          <w:b w:val="0"/>
          <w:i w:val="0"/>
        </w:rPr>
        <w:t>When an official-round source announces that a city, company, or nation has arrived, rewrite the statement several ways. Who funded it? Who performed the work? Who can use the result? Who was displaced, monitored, or asked to wait? Who controls the metric of success? This does not require assuming every project is exploitative. It requires enough precision to discover whether the shared destination is genuinely shared.</w:t>
      </w:r>
    </w:p>
    <w:p>
      <w:pPr/>
      <w:r>
        <w:rPr>
          <w:b w:val="0"/>
          <w:i w:val="0"/>
        </w:rPr>
        <w:t>A project can solve a coordination problem while creating a justice problem. It can also distribute benefits broadly and still ask for reasonable temporary sacrifice. Scholars should make the comparison rather than reach for a slogan. State the benefit, locate the cost, identify the decision process, and judge whether people with less power had a meaningful way to influence it.</w:t>
      </w:r>
    </w:p>
    <w:p>
      <w:pPr/>
      <w:r>
        <w:rPr>
          <w:b w:val="0"/>
          <w:i w:val="0"/>
        </w:rPr>
        <w:t>A useful counterexample prevents this framework from becoming automatic suspicion. A city may close one traffic lane for several months so crews can replace a failing water main. Nearby journeys become slower, yet the temporary burden can be justified by broad future reliability, published evidence, disability access, compensation for affected businesses, and a clear completion plan. Unequal inconvenience is not automatically injustice. It becomes defensible when necessity is demonstrated, alternatives are compared, burdens are reduced, and decision-makers remain answerable for the result.</w:t>
      </w:r>
    </w:p>
    <w:p>
      <w:pPr>
        <w:pStyle w:val="WSCSourceNote"/>
        <w:shd w:fill="F7EACC" w:val="clear"/>
        <w:pBdr>
          <w:left w:val="single" w:sz="14" w:space="6" w:color="C89C44"/>
        </w:pBdr>
      </w:pPr>
      <w:r>
        <w:rPr>
          <w:b/>
          <w:i w:val="0"/>
        </w:rPr>
        <w:t>Sources for this chapter:</w:t>
      </w:r>
      <w:r>
        <w:rPr>
          <w:b w:val="0"/>
          <w:i w:val="0"/>
        </w:rPr>
        <w:t xml:space="preserve"> this chapter applies the curriculum’s iron-triangle, risk-register, Kanban, PERT, critical-path, and Stakhanovite branches to stakeholder analysis. The factual anchor for Stakhanovism is the linked </w:t>
      </w:r>
      <w:hyperlink r:id="rId17">
        <w:r>
          <w:rPr>
            <w:rStyle w:val="WSCLink"/>
            <w:rFonts w:ascii="Georgia" w:hAnsi="Georgia" w:eastAsia="Georgia" w:cs="Georgia"/>
            <w:color w:val="825F1F"/>
            <w:u w:val="single"/>
          </w:rPr>
          <w:t>historical overview</w:t>
        </w:r>
      </w:hyperlink>
      <w:r>
        <w:rPr>
          <w:b w:val="0"/>
          <w:i w:val="0"/>
        </w:rPr>
        <w:t>; the distributional conclusions are explicitly analytical rather than claims made by that source.</w:t>
      </w:r>
    </w:p>
    <w:p>
      <w:pPr>
        <w:pStyle w:val="Heading1"/>
        <w:pageBreakBefore/>
        <w:pBdr>
          <w:bottom w:val="single" w:sz="9" w:space="5" w:color="C89C44"/>
        </w:pBdr>
      </w:pPr>
      <w:r>
        <w:rPr>
          <w:b w:val="0"/>
          <w:i w:val="0"/>
        </w:rPr>
        <w:t>Chapter 4 - Leadership, morale, and visible progress</w:t>
      </w:r>
    </w:p>
    <w:p>
      <w:pPr/>
      <w:r>
        <w:rPr>
          <w:b w:val="0"/>
          <w:i w:val="0"/>
        </w:rPr>
        <w:t>The old image of management is a leader holding a complete map and directing everyone along it. The modern image is a team experimenting, listening to feedback, and pivoting quickly. Neither image is sufficient. Some work genuinely needs stable sequencing; some becomes safer only when plans can change. The important question is how a project learns without confusing constant motion with progress.</w:t>
      </w:r>
    </w:p>
    <w:p>
      <w:pPr>
        <w:pStyle w:val="Heading2"/>
      </w:pPr>
      <w:r>
        <w:rPr>
          <w:b w:val="0"/>
          <w:i w:val="0"/>
        </w:rPr>
        <w:t>Waterfall is useful when the river is predictable</w:t>
      </w:r>
    </w:p>
    <w:p>
      <w:pPr/>
      <w:r>
        <w:rPr>
          <w:b w:val="0"/>
          <w:i w:val="0"/>
        </w:rPr>
        <w:t>A waterfall model moves through broad stages such as requirements, design, implementation, testing, and deployment. Its popular diagram suggests that work flows mainly in one direction. This can help when requirements are stable, documentation matters, approvals are formal, and changes become expensive after construction begins. A physical building cannot be refactored as cheaply as a webpage.</w:t>
      </w:r>
    </w:p>
    <w:p>
      <w:pPr/>
      <w:r>
        <w:rPr>
          <w:b w:val="0"/>
          <w:i w:val="0"/>
        </w:rPr>
        <w:t>The weakness appears when uncertainty is hidden at the beginning. If users cannot know what they need until they try something, a long requirements phase may produce precise instructions for the wrong solution. Problems are then discovered late, when revising them is expensive. A rigid map is most dangerous when confidence in the landscape is false.</w:t>
      </w:r>
    </w:p>
    <w:p>
      <w:pPr>
        <w:pStyle w:val="Heading2"/>
      </w:pPr>
      <w:r>
        <w:rPr>
          <w:b w:val="0"/>
          <w:i w:val="0"/>
        </w:rPr>
        <w:t>Agile makes feedback part of the route</w:t>
      </w:r>
    </w:p>
    <w:p>
      <w:pPr/>
      <w:r>
        <w:rPr>
          <w:b w:val="0"/>
          <w:i w:val="0"/>
        </w:rPr>
        <w:t xml:space="preserve">The </w:t>
      </w:r>
      <w:hyperlink r:id="rId21">
        <w:r>
          <w:rPr>
            <w:rStyle w:val="WSCLink"/>
            <w:rFonts w:ascii="Georgia" w:hAnsi="Georgia" w:eastAsia="Georgia" w:cs="Georgia"/>
            <w:color w:val="825F1F"/>
            <w:u w:val="single"/>
          </w:rPr>
          <w:t>Agile Manifesto</w:t>
        </w:r>
      </w:hyperlink>
      <w:r>
        <w:rPr>
          <w:b w:val="0"/>
          <w:i w:val="0"/>
        </w:rPr>
        <w:t>, written in 2001, values people and interactions, working software, customer collaboration, and response to change, while acknowledging value in processes, documentation, contracts, and plans. The final clause matters. Agile is not “no map.” It is a commitment to update the map using evidence from small, working increments.</w:t>
      </w:r>
    </w:p>
    <w:p>
      <w:pPr/>
      <w:r>
        <w:rPr>
          <w:b w:val="0"/>
          <w:i w:val="0"/>
        </w:rPr>
        <w:t>A pivot changes product, audience, or business model because a team has learned something important. Netflix’s move from mailed DVDs to streaming depended on technological and market shifts. Slack emerged from communication tools built during development of a game. Amazon expanded far beyond books, and YouTube’s earliest concept differed from the general video platform it became. These stories are often retold as proof that flexibility guarantees success. Survivorship bias is the danger: countless companies pivot without finding a viable destination. A pivot is defensible when evidence changes the underlying belief, not whenever leaders become bored with the plan.</w:t>
      </w:r>
    </w:p>
    <w:p>
      <w:pPr>
        <w:pStyle w:val="Heading2"/>
      </w:pPr>
      <w:r>
        <w:rPr>
          <w:b w:val="0"/>
          <w:i w:val="0"/>
        </w:rPr>
        <w:t>Lean flow, quality control, and deliberate failure</w:t>
      </w:r>
    </w:p>
    <w:p>
      <w:pPr/>
      <w:r>
        <w:rPr>
          <w:b w:val="0"/>
          <w:i w:val="0"/>
        </w:rPr>
        <w:t>The Toyota Production System aims to create flow, reduce waste, and respond to actual demand. Kanban signals help prevent excess inventory from hiding problems. Six Sigma uses data to reduce variation and defects. Total Quality Management treats quality as an organisation-wide responsibility rather than an inspection performed only at the end. These traditions differ, but all challenge the idea that progress means pushing more work into the system.</w:t>
      </w:r>
    </w:p>
    <w:p>
      <w:pPr/>
      <w:r>
        <w:rPr>
          <w:b w:val="0"/>
          <w:i w:val="0"/>
        </w:rPr>
        <w:t>The Sashimi Model overlaps development phases instead of waiting for one phase to end completely before the next begins. Requirements, design, implementation, and testing can inform one another while the work is still fresh, like overlapping slices rather than separate blocks. The overlap can shorten feedback time, but it also demands close communication and clear responsibility. Starting everything early without controlling dependencies produces confusion, not flow.</w:t>
      </w:r>
    </w:p>
    <w:p>
      <w:pPr/>
      <w:r>
        <w:rPr>
          <w:b w:val="0"/>
          <w:i w:val="0"/>
        </w:rPr>
        <w:t>Chaos engineering goes further by introducing controlled failures to learn how a system responds. The comparison with a fire drill is helpful. Engineers do not break production systems for entertainment. They form a hypothesis about resilience, limit the experiment’s potential harm, observe what happens, and improve recovery. Netflix’s “Simian Army” became a memorable example because services built across distributed infrastructure had to survive individual components failing. Here, moving backward for a moment can be progress if the failure reveals a weakness before a real emergency does.</w:t>
      </w:r>
    </w:p>
    <w:p>
      <w:pPr/>
      <w:r>
        <w:rPr>
          <w:b w:val="0"/>
          <w:i w:val="0"/>
        </w:rPr>
        <w:t xml:space="preserve">The DevOps novel </w:t>
      </w:r>
      <w:r>
        <w:rPr>
          <w:b w:val="0"/>
          <w:i/>
        </w:rPr>
        <w:t>The Phoenix Project</w:t>
      </w:r>
      <w:r>
        <w:rPr>
          <w:b w:val="0"/>
          <w:i w:val="0"/>
        </w:rPr>
        <w:t xml:space="preserve"> and related writing describe </w:t>
      </w:r>
      <w:hyperlink r:id="rId22">
        <w:r>
          <w:rPr>
            <w:rStyle w:val="WSCLink"/>
            <w:rFonts w:ascii="Georgia" w:hAnsi="Georgia" w:eastAsia="Georgia" w:cs="Georgia"/>
            <w:color w:val="825F1F"/>
            <w:u w:val="single"/>
          </w:rPr>
          <w:t>The Three Ways</w:t>
        </w:r>
      </w:hyperlink>
      <w:r>
        <w:rPr>
          <w:b w:val="0"/>
          <w:i w:val="0"/>
        </w:rPr>
        <w:t>: improve flow from idea to customer, amplify feedback, and create a culture of continual learning and experimentation. This is the “Phoenix Project philosophy” named in the curriculum, not a separate scheduling formula. The language offers a bridge between the chapter’s tools. Flow without feedback can deliver the wrong thing efficiently. Feedback without safe experimentation can produce fear and concealment. Experimentation without a destination can become theatre.</w:t>
      </w:r>
    </w:p>
    <w:p>
      <w:pPr>
        <w:pStyle w:val="Heading2"/>
      </w:pPr>
      <w:r>
        <w:rPr>
          <w:b w:val="0"/>
          <w:i w:val="0"/>
        </w:rPr>
        <w:t>Command and control can silence the earliest warning</w:t>
      </w:r>
    </w:p>
    <w:p>
      <w:pPr/>
      <w:r>
        <w:rPr>
          <w:b w:val="0"/>
          <w:i w:val="0"/>
        </w:rPr>
        <w:t>Central command is valuable in some emergencies and tightly coupled operations, especially when roles are clear and seconds matter. It becomes brittle when information is dispersed. A worker close to a machine, a user testing an interface, or a resident watching a construction site may detect a problem before senior leaders do. If bad news is punished, dashboards remain green until failure becomes undeniable.</w:t>
      </w:r>
    </w:p>
    <w:p>
      <w:pPr/>
      <w:r>
        <w:rPr>
          <w:b w:val="0"/>
          <w:i w:val="0"/>
        </w:rPr>
        <w:t>Psychological safety does not mean every idea is accepted or deadlines vanish. It means people can report uncertainty, error, and disagreement without being humiliated for supplying useful information. Leaders still decide. Their quality is shown partly by whether the system brings inconvenient evidence to them early enough to act.</w:t>
      </w:r>
    </w:p>
    <w:p>
      <w:pPr>
        <w:pStyle w:val="Heading2"/>
      </w:pPr>
      <w:r>
        <w:rPr>
          <w:b w:val="0"/>
          <w:i w:val="0"/>
        </w:rPr>
        <w:t>Morale is operational information</w:t>
      </w:r>
    </w:p>
    <w:p>
      <w:pPr/>
      <w:r>
        <w:rPr>
          <w:b w:val="0"/>
          <w:i w:val="0"/>
        </w:rPr>
        <w:t>Morale is sometimes treated as a soft feeling separate from serious delivery. In knowledge work, construction, care, education, and emergency response, it affects attention, turnover, learning, safety, and willingness to raise problems. A team that appears compliant may be accumulating hidden delay through exhaustion and silence.</w:t>
      </w:r>
    </w:p>
    <w:p>
      <w:pPr/>
      <w:r>
        <w:rPr>
          <w:b w:val="0"/>
          <w:i w:val="0"/>
        </w:rPr>
        <w:t>The best adaptive systems pair autonomy with boundaries. Teams know the outcome, safety constraints, decision rights, and feedback rhythm. They are not asked to improvise everything. A fast pair of shoes helps only if runners can recognise a cliff and have permission to turn. The choice is not between one perfect map and cheerful chaos. It is between systems that revise plans honestly and systems that protect the plan from reality.</w:t>
      </w:r>
    </w:p>
    <w:p>
      <w:pPr>
        <w:pStyle w:val="Heading2"/>
      </w:pPr>
      <w:r>
        <w:rPr>
          <w:b w:val="0"/>
          <w:i w:val="0"/>
        </w:rPr>
        <w:t>A pivot needs an evidence threshold and a stopping rule</w:t>
      </w:r>
    </w:p>
    <w:p>
      <w:pPr/>
      <w:r>
        <w:rPr>
          <w:b w:val="0"/>
          <w:i w:val="0"/>
        </w:rPr>
        <w:t>Adaptation can become its own form of avoidance. A team that changes direction every week never gives an idea enough time to produce evidence, while a leader can call personal preference a “pivot” and escape responsibility for the last plan. Before an experiment begins, define what observation would support continuing, revising, or stopping. Record the decision afterward. This creates institutional memory, so the next team does not repeat an abandoned route without knowing why it failed.</w:t>
      </w:r>
    </w:p>
    <w:p>
      <w:pPr/>
      <w:r>
        <w:rPr>
          <w:b w:val="0"/>
          <w:i w:val="0"/>
        </w:rPr>
        <w:t>For WSC preparation, the mechanism is concrete. A team can test one week of shared notes and one week of individual retrieval, then compare delayed recall rather than deciding from enthusiasm on day one. It can rehearse two Bowl communication patterns under timed conditions and observe lost seconds and duplicate answers. Feedback becomes useful when it changes a named decision. Without that link, retrospectives are conversations about movement rather than instruments of progress.</w:t>
      </w:r>
    </w:p>
    <w:p>
      <w:pPr>
        <w:pStyle w:val="WSCSourceNote"/>
        <w:shd w:fill="F7EACC" w:val="clear"/>
        <w:pBdr>
          <w:left w:val="single" w:sz="14" w:space="6" w:color="C89C44"/>
        </w:pBdr>
      </w:pPr>
      <w:r>
        <w:rPr>
          <w:b/>
          <w:i w:val="0"/>
        </w:rPr>
        <w:t>Sources for this chapter:</w:t>
      </w:r>
      <w:r>
        <w:rPr>
          <w:b w:val="0"/>
          <w:i w:val="0"/>
        </w:rPr>
        <w:t xml:space="preserve"> the primary </w:t>
      </w:r>
      <w:hyperlink r:id="rId21">
        <w:r>
          <w:rPr>
            <w:rStyle w:val="WSCLink"/>
            <w:rFonts w:ascii="Georgia" w:hAnsi="Georgia" w:eastAsia="Georgia" w:cs="Georgia"/>
            <w:color w:val="825F1F"/>
            <w:u w:val="single"/>
          </w:rPr>
          <w:t>Agile Manifesto</w:t>
        </w:r>
      </w:hyperlink>
      <w:r>
        <w:rPr>
          <w:b w:val="0"/>
          <w:i w:val="0"/>
        </w:rPr>
        <w:t xml:space="preserve">, the curriculum packet’s explanation of </w:t>
      </w:r>
      <w:hyperlink r:id="rId22">
        <w:r>
          <w:rPr>
            <w:rStyle w:val="WSCLink"/>
            <w:rFonts w:ascii="Georgia" w:hAnsi="Georgia" w:eastAsia="Georgia" w:cs="Georgia"/>
            <w:color w:val="825F1F"/>
            <w:u w:val="single"/>
          </w:rPr>
          <w:t>The Three Ways</w:t>
        </w:r>
      </w:hyperlink>
      <w:r>
        <w:rPr>
          <w:b w:val="0"/>
          <w:i w:val="0"/>
        </w:rPr>
        <w:t xml:space="preserve">, and Toyota’s </w:t>
      </w:r>
      <w:hyperlink r:id="rId20">
        <w:r>
          <w:rPr>
            <w:rStyle w:val="WSCLink"/>
            <w:rFonts w:ascii="Georgia" w:hAnsi="Georgia" w:eastAsia="Georgia" w:cs="Georgia"/>
            <w:color w:val="825F1F"/>
            <w:u w:val="single"/>
          </w:rPr>
          <w:t>account of Kanban and production flow</w:t>
        </w:r>
      </w:hyperlink>
      <w:r>
        <w:rPr>
          <w:b w:val="0"/>
          <w:i w:val="0"/>
        </w:rPr>
        <w:t>. The company examples illustrate adaptation; they do not prove that every pivot or agile-labelled process succeeds.</w:t>
      </w:r>
    </w:p>
    <w:p>
      <w:pPr>
        <w:pStyle w:val="Heading1"/>
        <w:pageBreakBefore/>
        <w:pBdr>
          <w:bottom w:val="single" w:sz="9" w:space="5" w:color="C89C44"/>
        </w:pBdr>
      </w:pPr>
      <w:r>
        <w:rPr>
          <w:b w:val="0"/>
          <w:i w:val="0"/>
        </w:rPr>
        <w:t>Chapter 5 - Planning systems and the return of the stopwatch</w:t>
      </w:r>
    </w:p>
    <w:p>
      <w:pPr/>
      <w:r>
        <w:rPr>
          <w:b w:val="0"/>
          <w:i w:val="0"/>
        </w:rPr>
        <w:t>Frederick Winslow Taylor wanted managers to replace custom and guesswork with measured methods. His stopwatch has become a symbol of a lasting ambition: make work visible, find the best process, and separate planning from execution. Digital tools can now measure far more than Taylor could observe. The final branch asks whether that greater visibility produces wiser coordination or simply a stopwatch that follows workers everywhere.</w:t>
      </w:r>
    </w:p>
    <w:p>
      <w:pPr>
        <w:pStyle w:val="Heading2"/>
      </w:pPr>
      <w:r>
        <w:rPr>
          <w:b w:val="0"/>
          <w:i w:val="0"/>
        </w:rPr>
        <w:t>Scientific management and the promise of one best way</w:t>
      </w:r>
    </w:p>
    <w:p>
      <w:pPr/>
      <w:r>
        <w:rPr>
          <w:b w:val="0"/>
          <w:i w:val="0"/>
        </w:rPr>
        <w:t xml:space="preserve">In </w:t>
      </w:r>
      <w:hyperlink r:id="rId23">
        <w:r>
          <w:rPr>
            <w:rStyle w:val="WSCLink"/>
            <w:rFonts w:ascii="Georgia" w:hAnsi="Georgia" w:eastAsia="Georgia" w:cs="Georgia"/>
            <w:color w:val="825F1F"/>
            <w:u w:val="single"/>
            <w:i/>
          </w:rPr>
          <w:t>The Principles of Scientific Management</w:t>
        </w:r>
      </w:hyperlink>
      <w:hyperlink r:id="rId23">
        <w:r>
          <w:rPr>
            <w:rStyle w:val="WSCLink"/>
            <w:rFonts w:ascii="Georgia" w:hAnsi="Georgia" w:eastAsia="Georgia" w:cs="Georgia"/>
            <w:color w:val="825F1F"/>
            <w:u w:val="single"/>
          </w:rPr>
          <w:t xml:space="preserve"> (L071)</w:t>
        </w:r>
      </w:hyperlink>
      <w:r>
        <w:rPr>
          <w:b w:val="0"/>
          <w:i w:val="0"/>
        </w:rPr>
        <w:t>, Taylor argued that managers should study tasks scientifically, select and train workers systematically, cooperate to ensure the method was followed, and divide responsibility between management and labour. Time-and-motion study could expose wasted effort and standardise work. In some settings, careful analysis can reduce physical strain, improve consistency, and reveal a safer method.</w:t>
      </w:r>
    </w:p>
    <w:p>
      <w:pPr/>
      <w:r>
        <w:rPr>
          <w:b w:val="0"/>
          <w:i w:val="0"/>
        </w:rPr>
        <w:t>The ethical problem lies in who defines the “best.” If workers are treated as components whose knowledge matters only when extracted by managers, efficiency narrows human judgment. The worker may experience greater pace, less autonomy, and pressure from a standard built under ideal conditions. Productivity gains and domination can coexist.</w:t>
      </w:r>
    </w:p>
    <w:p>
      <w:pPr/>
      <w:r>
        <w:rPr>
          <w:b w:val="0"/>
          <w:i w:val="0"/>
        </w:rPr>
        <w:t>Max Weber’s ideal type of bureaucracy describes rule-bound offices, hierarchy, specialised roles, records, and impersonal administration. Bureaucracy can protect people from arbitrary personal favour by making decisions consistent and reviewable. It can also become slow, alienating, or obsessed with procedure. Ford’s moving assembly line dramatically increased throughput and lowered the cost of cars while making many jobs repetitive. Total Quality Management later emphasised process improvement and organisation-wide quality, but even participatory systems can become empty slogans if workers have no real power to change the process.</w:t>
      </w:r>
    </w:p>
    <w:p>
      <w:pPr>
        <w:pStyle w:val="Heading2"/>
      </w:pPr>
      <w:r>
        <w:rPr>
          <w:b w:val="0"/>
          <w:i w:val="0"/>
        </w:rPr>
        <w:t>The stopwatch has become software</w:t>
      </w:r>
    </w:p>
    <w:p>
      <w:pPr/>
      <w:r>
        <w:rPr>
          <w:b w:val="0"/>
          <w:i w:val="0"/>
        </w:rPr>
        <w:t xml:space="preserve">Contemporary monitoring can record keystrokes, screenshots, application use, location, call duration, delivery routes, and algorithmically assigned tasks. The official </w:t>
      </w:r>
      <w:hyperlink r:id="rId24">
        <w:r>
          <w:rPr>
            <w:rStyle w:val="WSCLink"/>
            <w:rFonts w:ascii="Georgia" w:hAnsi="Georgia" w:eastAsia="Georgia" w:cs="Georgia"/>
            <w:color w:val="825F1F"/>
            <w:u w:val="single"/>
          </w:rPr>
          <w:t>CIPD discussion of workplace monitoring (L072)</w:t>
        </w:r>
      </w:hyperlink>
      <w:r>
        <w:rPr>
          <w:b w:val="0"/>
          <w:i w:val="0"/>
        </w:rPr>
        <w:t xml:space="preserve"> treats monitoring as a governance issue, not just a technical possibility. Employers may have legitimate reasons involving safety, security, compliance, workload, or service quality. Proportionality, transparency, consultation, data protection, and the effect on trust determine whether the practice is defensible.</w:t>
      </w:r>
    </w:p>
    <w:p>
      <w:pPr/>
      <w:r>
        <w:rPr>
          <w:b w:val="0"/>
          <w:i w:val="0"/>
        </w:rPr>
        <w:t>Remote work does not automatically justify continuous observation. A screenshot proves that pixels changed, not that a difficult decision was good. Mouse movement can be gamed. A delivery target can ignore traffic, disability, weather, and the time required for safe work. When the metric becomes the goal, employees learn to satisfy the metric. The result may be more measured activity and less valuable output.</w:t>
      </w:r>
    </w:p>
    <w:p>
      <w:pPr/>
      <w:r>
        <w:rPr>
          <w:b w:val="0"/>
          <w:i w:val="0"/>
        </w:rPr>
        <w:t>The strongest management question is not “Can we collect this?” but “Which decision will improve because we collect it, and what behaviour might the measure distort?” Workers should know what is recorded, for how long, who can see it, how errors can be challenged, and whether the same goal can be reached with less intrusive data.</w:t>
      </w:r>
    </w:p>
    <w:p>
      <w:pPr>
        <w:pStyle w:val="Heading2"/>
      </w:pPr>
      <w:r>
        <w:rPr>
          <w:b w:val="0"/>
          <w:i w:val="0"/>
        </w:rPr>
        <w:t>Eight “laws” that are better used as warnings</w:t>
      </w:r>
    </w:p>
    <w:p>
      <w:pPr/>
      <w:r>
        <w:rPr>
          <w:b w:val="0"/>
          <w:i w:val="0"/>
        </w:rPr>
        <w:t>The curriculum’s laws of human effort are aphorisms, observations, and jokes rather than physical laws. The Hawthorne effect is commonly used to suggest that people change behaviour when they know they are observed. The historical research behind the label is more contested than the simple slogan implies, so it is safest to treat observation as a possible influence rather than a universal boost.</w:t>
      </w:r>
    </w:p>
    <w:p>
      <w:pPr/>
      <w:r>
        <w:rPr>
          <w:b w:val="0"/>
          <w:i w:val="0"/>
        </w:rPr>
        <w:t>Hofstadter’s Law says work takes longer than expected, even when Hofstadter’s Law is considered. The 90-90 rule jokes that the first 90 percent of software takes 90 percent of the time and the remaining 10 percent takes another 90 percent. Both capture planning optimism and the long tail of integration, testing, and edge cases. Conway’s Law proposes that system designs reflect the communication structures of the organisations that create them. Brooks’ Law warns that adding people to a late software project can make it later because newcomers require onboarding and multiply communication paths.</w:t>
      </w:r>
    </w:p>
    <w:p>
      <w:pPr/>
      <w:r>
        <w:rPr>
          <w:b w:val="0"/>
          <w:i w:val="0"/>
        </w:rPr>
        <w:t>Putt’s Law satirises technology organisations by suggesting that technical competence and management authority often separate. Illich’s Law is used in productivity discussions to warn that beyond a threshold, more time can reduce effectiveness. Laborit’s Law says people tend to begin with pleasant or easy work, a reminder that avoidance can set priorities by emotion. None supplies a number that can be inserted mechanically into a schedule. Together they warn that people learn, tire, communicate, protect status, and respond to incentives.</w:t>
      </w:r>
    </w:p>
    <w:p>
      <w:pPr>
        <w:pStyle w:val="Heading2"/>
      </w:pPr>
      <w:r>
        <w:rPr>
          <w:b w:val="0"/>
          <w:i w:val="0"/>
        </w:rPr>
        <w:t>The Pareto principle is a lens, not a permission slip</w:t>
      </w:r>
    </w:p>
    <w:p>
      <w:pPr/>
      <w:r>
        <w:rPr>
          <w:b w:val="0"/>
          <w:i w:val="0"/>
        </w:rPr>
        <w:t xml:space="preserve">The </w:t>
      </w:r>
      <w:hyperlink r:id="rId25">
        <w:r>
          <w:rPr>
            <w:rStyle w:val="WSCLink"/>
            <w:rFonts w:ascii="Georgia" w:hAnsi="Georgia" w:eastAsia="Georgia" w:cs="Georgia"/>
            <w:color w:val="825F1F"/>
            <w:u w:val="single"/>
          </w:rPr>
          <w:t>official Pareto overview (L073)</w:t>
        </w:r>
      </w:hyperlink>
      <w:r>
        <w:rPr>
          <w:b w:val="0"/>
          <w:i w:val="0"/>
        </w:rPr>
        <w:t xml:space="preserve"> explains the familiar claim that a minority of inputs often accounts for a majority of outcomes. The exact 80/20 ratio is not a natural constant. In one system it may be 70/30, in another 95/5, and in some systems the pattern may not help at all. Its value is diagnostic: outcomes may be distributed unevenly, so identify the few causes, users, defects, or tasks with disproportionate influence.</w:t>
      </w:r>
    </w:p>
    <w:p>
      <w:pPr/>
      <w:r>
        <w:rPr>
          <w:b w:val="0"/>
          <w:i w:val="0"/>
        </w:rPr>
        <w:t>For studying, a small set of concepts may connect many questions. That does not mean reading 20 percent of the curriculum guarantees 80 percent of the score. First, students do not know in advance which material an official round will sample. Second, broad conceptual fluency often depends on examples that look minor until a comparison demands them. Third, the official links are precisely where less obvious evidence may be located. Pareto thinking should guide prioritisation after coverage, not excuse skipping the syllabus.</w:t>
      </w:r>
    </w:p>
    <w:p>
      <w:pPr/>
      <w:r>
        <w:rPr>
          <w:b w:val="0"/>
          <w:i w:val="0"/>
        </w:rPr>
        <w:t>Nor does a high-impact minority imply the rest is waste. A few bridge components may carry most traffic while maintenance across the whole structure keeps those components safe. A few team members may produce visible outputs because others supply research, coordination, care, and review. Unequal contribution to one metric is not the same as unequal worth.</w:t>
      </w:r>
    </w:p>
    <w:p>
      <w:pPr>
        <w:pStyle w:val="Heading2"/>
      </w:pPr>
      <w:r>
        <w:rPr>
          <w:b w:val="0"/>
          <w:i w:val="0"/>
        </w:rPr>
        <w:t>Managing people without reducing them to effort units</w:t>
      </w:r>
    </w:p>
    <w:p>
      <w:pPr/>
      <w:r>
        <w:rPr>
          <w:b w:val="0"/>
          <w:i w:val="0"/>
        </w:rPr>
        <w:t>A humane system sets clear outcomes, provides resources, limits harmful work in progress, and uses evidence to improve the process. It also preserves voice, privacy, recovery, and professional judgment. Managers should observe enough to notice danger and support learning, but not assume that complete surveillance creates complete knowledge.</w:t>
      </w:r>
    </w:p>
    <w:p>
      <w:pPr/>
      <w:r>
        <w:rPr>
          <w:b w:val="0"/>
          <w:i w:val="0"/>
        </w:rPr>
        <w:t>For WSC preparation, combine the useful parts of the branch. Map the work and its dependencies. Limit simultaneous tasks. Revisit estimates. Practise retrieval rather than counting hours at a desk. Use a small number of high-value themes to connect the curriculum, but still open every official link. Hold short reviews in which a team can say what is blocked without blame. The plan should make thinking easier, not make scholars perform busyness for a dashboard.</w:t>
      </w:r>
    </w:p>
    <w:p>
      <w:pPr>
        <w:pStyle w:val="WSCSourceNote"/>
        <w:shd w:fill="F7EACC" w:val="clear"/>
        <w:pBdr>
          <w:left w:val="single" w:sz="14" w:space="6" w:color="C89C44"/>
        </w:pBdr>
      </w:pPr>
      <w:r>
        <w:rPr>
          <w:b/>
          <w:i w:val="0"/>
        </w:rPr>
        <w:t>Sources for this chapter:</w:t>
      </w:r>
      <w:r>
        <w:rPr>
          <w:b w:val="0"/>
          <w:i w:val="0"/>
        </w:rPr>
        <w:t xml:space="preserve"> Taylor’s primary text, </w:t>
      </w:r>
      <w:hyperlink r:id="rId23">
        <w:r>
          <w:rPr>
            <w:rStyle w:val="WSCLink"/>
            <w:rFonts w:ascii="Georgia" w:hAnsi="Georgia" w:eastAsia="Georgia" w:cs="Georgia"/>
            <w:color w:val="825F1F"/>
            <w:u w:val="single"/>
            <w:i/>
          </w:rPr>
          <w:t>The Principles of Scientific Management</w:t>
        </w:r>
      </w:hyperlink>
      <w:hyperlink r:id="rId23">
        <w:r>
          <w:rPr>
            <w:rStyle w:val="WSCLink"/>
            <w:rFonts w:ascii="Georgia" w:hAnsi="Georgia" w:eastAsia="Georgia" w:cs="Georgia"/>
            <w:color w:val="825F1F"/>
            <w:u w:val="single"/>
          </w:rPr>
          <w:t xml:space="preserve"> (L071)</w:t>
        </w:r>
      </w:hyperlink>
      <w:r>
        <w:rPr>
          <w:b w:val="0"/>
          <w:i w:val="0"/>
        </w:rPr>
        <w:t xml:space="preserve">; the </w:t>
      </w:r>
      <w:hyperlink r:id="rId24">
        <w:r>
          <w:rPr>
            <w:rStyle w:val="WSCLink"/>
            <w:rFonts w:ascii="Georgia" w:hAnsi="Georgia" w:eastAsia="Georgia" w:cs="Georgia"/>
            <w:color w:val="825F1F"/>
            <w:u w:val="single"/>
          </w:rPr>
          <w:t>CIPD monitoring analysis (L072)</w:t>
        </w:r>
      </w:hyperlink>
      <w:r>
        <w:rPr>
          <w:b w:val="0"/>
          <w:i w:val="0"/>
        </w:rPr>
        <w:t xml:space="preserve">; the official </w:t>
      </w:r>
      <w:hyperlink r:id="rId25">
        <w:r>
          <w:rPr>
            <w:rStyle w:val="WSCLink"/>
            <w:rFonts w:ascii="Georgia" w:hAnsi="Georgia" w:eastAsia="Georgia" w:cs="Georgia"/>
            <w:color w:val="825F1F"/>
            <w:u w:val="single"/>
          </w:rPr>
          <w:t>Pareto principle source (L073)</w:t>
        </w:r>
      </w:hyperlink>
      <w:r>
        <w:rPr>
          <w:b w:val="0"/>
          <w:i w:val="0"/>
        </w:rPr>
        <w:t xml:space="preserve">; and the linked short introductions to the </w:t>
      </w:r>
      <w:hyperlink r:id="rId26">
        <w:r>
          <w:rPr>
            <w:rStyle w:val="WSCLink"/>
            <w:rFonts w:ascii="Georgia" w:hAnsi="Georgia" w:eastAsia="Georgia" w:cs="Georgia"/>
            <w:color w:val="825F1F"/>
            <w:u w:val="single"/>
          </w:rPr>
          <w:t>Hawthorne effect</w:t>
        </w:r>
      </w:hyperlink>
      <w:r>
        <w:rPr>
          <w:b w:val="0"/>
          <w:i w:val="0"/>
        </w:rPr>
        <w:t xml:space="preserve"> and </w:t>
      </w:r>
      <w:hyperlink r:id="rId27">
        <w:r>
          <w:rPr>
            <w:rStyle w:val="WSCLink"/>
            <w:rFonts w:ascii="Georgia" w:hAnsi="Georgia" w:eastAsia="Georgia" w:cs="Georgia"/>
            <w:color w:val="825F1F"/>
            <w:u w:val="single"/>
          </w:rPr>
          <w:t>90-90 rule</w:t>
        </w:r>
      </w:hyperlink>
      <w:r>
        <w:rPr>
          <w:b w:val="0"/>
          <w:i w:val="0"/>
        </w:rPr>
        <w:t>. The “laws” are presented as cautions, not universal scientific laws.</w:t>
      </w:r>
    </w:p>
    <w:p>
      <w:pPr>
        <w:pStyle w:val="Heading1"/>
        <w:pBdr>
          <w:bottom w:val="single" w:sz="9" w:space="5" w:color="C89C44"/>
        </w:pBdr>
      </w:pPr>
      <w:r>
        <w:rPr>
          <w:b w:val="0"/>
          <w:i w:val="0"/>
        </w:rPr>
        <w:t>Final synthesis - A shared destination needs an honest system</w:t>
      </w:r>
    </w:p>
    <w:p>
      <w:pPr/>
      <w:r>
        <w:rPr>
          <w:b w:val="0"/>
          <w:i w:val="0"/>
        </w:rPr>
        <w:t>The section begins with monuments and airports that refuse to obey their announced dates. It then moves inward, from the public project to the chart, from the chart to the team, and from the team to the monitored worker. At every scale, progress has to be represented. Dates, bars, costs, tickets, productivity records, and percentage rules make action discussable. They also decide what leaders can see and what they may learn to ignore.</w:t>
      </w:r>
    </w:p>
    <w:p>
      <w:pPr/>
      <w:r>
        <w:rPr>
          <w:b w:val="0"/>
          <w:i w:val="0"/>
        </w:rPr>
        <w:t>No framework eliminates judgment. Waterfall can protect a stable, safety-critical sequence or fossilise a false assumption. Agile feedback can reveal a better destination or provide fashionable language for disorder. A stopwatch can expose an exhausting motion or become an instrument of control. The Pareto principle can identify the work that matters or rationalise superficial preparation. Tools acquire their meaning from the power relationships and decisions around them.</w:t>
      </w:r>
    </w:p>
    <w:p>
      <w:pPr/>
      <w:r>
        <w:rPr>
          <w:b w:val="0"/>
          <w:i w:val="0"/>
        </w:rPr>
        <w:t>When a new project appears in an official round, follow five questions. What is the promised arrival? Which dependencies determine the route? What evidence is being used to claim progress? Who gains or pays when scope, time, and cost change? How can people report that the map is wrong? A group is truly “all in this” only when its planning system can hear the people doing the travelling.</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WE'RE ALL IN THIS TO GET THERE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WE'RE ALL IN THIS TO GET THERE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guinnessworldrecords.com/news/2025/1/oldest-active-construction-project-la-sagrada-familia-to-finish-in-2026" TargetMode="External"/><Relationship Id="rId13" Type="http://schemas.openxmlformats.org/officeDocument/2006/relationships/hyperlink" Target="https://asiatimes.com/2025/12/indonesias-new-capital-falls-victim-to-the-politics-of-forgetting/" TargetMode="External"/><Relationship Id="rId14" Type="http://schemas.openxmlformats.org/officeDocument/2006/relationships/hyperlink" Target="https://www.businessinsider.com/crazy-horse-monument-isnt-finished-70-years-on-photos-2019-9" TargetMode="External"/><Relationship Id="rId15" Type="http://schemas.openxmlformats.org/officeDocument/2006/relationships/hyperlink" Target="https://www.projectmanagertemplate.com/post/the-history-of-project-management-ancient-to-modern-day" TargetMode="External"/><Relationship Id="rId16" Type="http://schemas.openxmlformats.org/officeDocument/2006/relationships/hyperlink" Target="https://www.forbes.com/advisor/business/software/what-is-a-gantt-chart/" TargetMode="External"/><Relationship Id="rId17" Type="http://schemas.openxmlformats.org/officeDocument/2006/relationships/hyperlink" Target="https://www.encyclopedia.com/history/encyclopedias-almanacs-transcripts-and-maps/stakhanovite-movement" TargetMode="External"/><Relationship Id="rId18" Type="http://schemas.openxmlformats.org/officeDocument/2006/relationships/hyperlink" Target="https://ganttchart.com/history_of_the_gantt_chart/" TargetMode="External"/><Relationship Id="rId19" Type="http://schemas.openxmlformats.org/officeDocument/2006/relationships/hyperlink" Target="https://www.toyotasystems.com/en/product-service/special/kanban/" TargetMode="External"/><Relationship Id="rId20" Type="http://schemas.openxmlformats.org/officeDocument/2006/relationships/hyperlink" Target="https://mag.toyota.co.uk/kanban-toyota-production-system/" TargetMode="External"/><Relationship Id="rId21" Type="http://schemas.openxmlformats.org/officeDocument/2006/relationships/hyperlink" Target="https://agilemanifesto.org/" TargetMode="External"/><Relationship Id="rId22" Type="http://schemas.openxmlformats.org/officeDocument/2006/relationships/hyperlink" Target="https://itrevolution.com/articles/the-three-ways-principles-underpinning-devops/" TargetMode="External"/><Relationship Id="rId23" Type="http://schemas.openxmlformats.org/officeDocument/2006/relationships/hyperlink" Target="https://archive.org/details/principlesofscie00taylrich/page/n5/mode/2up" TargetMode="External"/><Relationship Id="rId24" Type="http://schemas.openxmlformats.org/officeDocument/2006/relationships/hyperlink" Target="https://www.cipd.org/en/views-and-insights/thought-leadership/insight/monitoring-measures/" TargetMode="External"/><Relationship Id="rId25" Type="http://schemas.openxmlformats.org/officeDocument/2006/relationships/hyperlink" Target="https://www.simplypsychology.org/pareto-principle.html" TargetMode="External"/><Relationship Id="rId26" Type="http://schemas.openxmlformats.org/officeDocument/2006/relationships/hyperlink" Target="https://youtu.be/o4XX90lqT6E?si=PPJZsy6YLzVTLdYm" TargetMode="External"/><Relationship Id="rId27" Type="http://schemas.openxmlformats.org/officeDocument/2006/relationships/hyperlink" Target="https://youtu.be/BEGStDKSVuU?si=YX9sCbomp_y6ygH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All in This to Get There</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