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Where the Sidewalk Starts</w:t>
      </w:r>
    </w:p>
    <w:p>
      <w:pPr>
        <w:pStyle w:val="WSCSubtitle"/>
        <w:pBdr>
          <w:bottom w:val="single" w:sz="10" w:space="8" w:color="C89C44"/>
        </w:pBdr>
      </w:pPr>
      <w:r>
        <w:rPr>
          <w:b w:val="0"/>
          <w:i w:val="0"/>
        </w:rPr>
        <w:t>The strip between a building and a road is not leftover space. It is where a city decides whether movement will be safe, public life will be welcome, and the car will be a guest or the organising principle.</w:t>
      </w:r>
    </w:p>
    <w:p>
      <w:pPr>
        <w:pStyle w:val="Heading1"/>
        <w:pBdr>
          <w:bottom w:val="single" w:sz="9" w:space="5" w:color="C89C44"/>
        </w:pBdr>
      </w:pPr>
      <w:r>
        <w:rPr>
          <w:b w:val="0"/>
          <w:i w:val="0"/>
        </w:rPr>
        <w:t>Reading an ordinary surface as a civic argument</w:t>
      </w:r>
    </w:p>
    <w:p>
      <w:pPr/>
      <w:r>
        <w:rPr>
          <w:b w:val="0"/>
          <w:i w:val="0"/>
        </w:rPr>
        <w:t xml:space="preserve">The section title turns Shel Silverstein’s </w:t>
      </w:r>
      <w:r>
        <w:rPr>
          <w:b w:val="0"/>
          <w:i/>
        </w:rPr>
        <w:t>Where the Sidewalk Ends</w:t>
      </w:r>
      <w:r>
        <w:rPr>
          <w:b w:val="0"/>
          <w:i w:val="0"/>
        </w:rPr>
        <w:t xml:space="preserve"> around. Instead of leaving the measured city for a place beyond the pavement, WSC asks what begins at the sidewalk. The answer is more than a walk. Commerce, conversation, disability access, childhood independence, shade, waiting, protest, delivery work, street food, and the first step of nearly every transit journey depend on how this threshold is designed.</w:t>
      </w:r>
    </w:p>
    <w:p>
      <w:pPr/>
      <w:r>
        <w:rPr>
          <w:b w:val="0"/>
          <w:i w:val="0"/>
        </w:rPr>
        <w:t>A sidewalk is liminal because it lies between destinations, but it can also become a destination in its own right. New York pavement can hold a queue, a halal cart, a neighbour, a tourist, a cyclist, and a worker unloading goods within a few metres. In a car-oriented district of Dubai or a North American suburb, the equivalent trip may require crossing large roads or walking beside walls and parking entrances. Climate, density, law, culture, maintenance, and land value shape the difference. A city does not merely possess sidewalks; it assigns them width, continuity, priority, and meaning.</w:t>
      </w:r>
    </w:p>
    <w:p>
      <w:pPr/>
      <w:r>
        <w:rPr>
          <w:b w:val="0"/>
          <w:i w:val="0"/>
        </w:rPr>
        <w:t>The official links are the centre of the branch. They move from the first moving walkway to a billion-space parking landscape, through garages that perform as architecture, into a house designed around the motor car and a park reclaimed from parking. Read them as one argument about allocation. Every square metre given to storage, traffic, shade, plants, ramps, seating, or gathering is unavailable for something else. “Are we there yet?” begins with a more basic question: who can leave here safely?</w:t>
      </w:r>
    </w:p>
    <w:p>
      <w:pPr>
        <w:pStyle w:val="Heading1"/>
        <w:pageBreakBefore/>
        <w:pBdr>
          <w:bottom w:val="single" w:sz="9" w:space="5" w:color="C89C44"/>
        </w:pBdr>
      </w:pPr>
      <w:r>
        <w:rPr>
          <w:b w:val="0"/>
          <w:i w:val="0"/>
        </w:rPr>
        <w:t>Chapter 1 - Sidewalks as civic infrastructure</w:t>
      </w:r>
    </w:p>
    <w:p>
      <w:pPr/>
      <w:r>
        <w:rPr>
          <w:b w:val="0"/>
          <w:i w:val="0"/>
        </w:rPr>
        <w:t>It is tempting to imagine that the street came first and the sidewalk was later added along its edge. Urban history is less orderly. Ancient settlements separated people, animals, waste, carts, and buildings in different ways. Streets could be markets, drains, social spaces, and traffic routes at once. What scholars now call a sidewalk emerged through repeated attempts to make walking safer, cleaner, and more predictable.</w:t>
      </w:r>
    </w:p>
    <w:p>
      <w:pPr>
        <w:pStyle w:val="Heading2"/>
      </w:pPr>
      <w:r>
        <w:rPr>
          <w:b w:val="0"/>
          <w:i w:val="0"/>
        </w:rPr>
        <w:t>Raised pavement before the modern pavement</w:t>
      </w:r>
    </w:p>
    <w:p>
      <w:pPr/>
      <w:r>
        <w:rPr>
          <w:b w:val="0"/>
          <w:i w:val="0"/>
        </w:rPr>
        <w:t xml:space="preserve">Pompeii offers a vivid early case. Raised footways ran beside many streets, while stepping stones allowed pedestrians to cross above water and waste without completely blocking wheeled traffic. The curriculum packet’s </w:t>
      </w:r>
      <w:hyperlink r:id="rId12">
        <w:r>
          <w:rPr>
            <w:rStyle w:val="WSCLink"/>
            <w:rFonts w:ascii="Georgia" w:hAnsi="Georgia" w:eastAsia="Georgia" w:cs="Georgia"/>
            <w:color w:val="825F1F"/>
            <w:u w:val="single"/>
          </w:rPr>
          <w:t>street reference</w:t>
        </w:r>
      </w:hyperlink>
      <w:r>
        <w:rPr>
          <w:b w:val="0"/>
          <w:i w:val="0"/>
        </w:rPr>
        <w:t xml:space="preserve"> and </w:t>
      </w:r>
      <w:hyperlink r:id="rId13">
        <w:r>
          <w:rPr>
            <w:rStyle w:val="WSCLink"/>
            <w:rFonts w:ascii="Georgia" w:hAnsi="Georgia" w:eastAsia="Georgia" w:cs="Georgia"/>
            <w:color w:val="825F1F"/>
            <w:u w:val="single"/>
          </w:rPr>
          <w:t>walkway account</w:t>
        </w:r>
      </w:hyperlink>
      <w:r>
        <w:rPr>
          <w:b w:val="0"/>
          <w:i w:val="0"/>
        </w:rPr>
        <w:t xml:space="preserve"> show that separation was physical and practical. The stones reveal expected wheel widths; the raised surfaces reveal who needed protection from the lower roadway. This was not a modern accessibility system, but it demonstrates that pedestrian infrastructure has ancient precedents.</w:t>
      </w:r>
    </w:p>
    <w:p>
      <w:pPr/>
      <w:r>
        <w:rPr>
          <w:b w:val="0"/>
          <w:i w:val="0"/>
        </w:rPr>
        <w:t>European cities later developed paved margins and regulated footways through local conditions rather than one universal invention date. Bridges such as Paris’s Pont Neuf offered unusually broad pedestrian edges. In London, paving acts and rebuilding regulations gradually made owners and parishes responsible for surfaces, drainage, and obstructions. Industrial traffic, sanitation reform, and growing urban populations increased the pressure to distinguish a place for walking from a carriageway.</w:t>
      </w:r>
    </w:p>
    <w:p>
      <w:pPr/>
      <w:r>
        <w:rPr>
          <w:b w:val="0"/>
          <w:i w:val="0"/>
        </w:rPr>
        <w:t>The history matters because “natural” street arrangements are usually inherited policy. A kerb appears ordinary only after generations of engineering, law, and maintenance have made it expected. Where no safe footway exists, the absence is also a decision, even if that decision was made through neglect rather than a meeting.</w:t>
      </w:r>
    </w:p>
    <w:p>
      <w:pPr>
        <w:pStyle w:val="Heading2"/>
      </w:pPr>
      <w:r>
        <w:rPr>
          <w:b w:val="0"/>
          <w:i w:val="0"/>
        </w:rPr>
        <w:t>The sidewalk has several jobs at once</w:t>
      </w:r>
    </w:p>
    <w:p>
      <w:pPr/>
      <w:r>
        <w:rPr>
          <w:b w:val="0"/>
          <w:i w:val="0"/>
        </w:rPr>
        <w:t>The first job is movement. A continuous, firm, sufficiently wide route lets people reach schools, shops, transport, parks, and one another without entering fast traffic. Continuity matters as much as presence. A beautiful segment that ends at a six-lane junction, a driveway lip, or a staircase does not complete the journey.</w:t>
      </w:r>
    </w:p>
    <w:p>
      <w:pPr/>
      <w:r>
        <w:rPr>
          <w:b w:val="0"/>
          <w:i w:val="0"/>
        </w:rPr>
        <w:t>The second job is exchange. Sidewalks allow customers to see shopfronts, vendors to meet passing demand, neighbours to speak, and performers or protesters to gather an audience. This can create conflict over noise, permits, cycling, tables, signs, and who may remain without buying anything. Those conflicts prove that the pavement is public life, not merely a conduit.</w:t>
      </w:r>
    </w:p>
    <w:p>
      <w:pPr/>
      <w:r>
        <w:rPr>
          <w:b w:val="0"/>
          <w:i w:val="0"/>
        </w:rPr>
        <w:t>The third job is environmental. Street trees provide shade and can reduce heat exposure. Planting and permeable surfaces can help manage water. A buffer of parked cars or vegetation can make walking feel safer, although each also consumes width and may obstruct sight lines. Design must balance functions rather than assume every desirable feature fits.</w:t>
      </w:r>
    </w:p>
    <w:p>
      <w:pPr>
        <w:pStyle w:val="Heading2"/>
      </w:pPr>
      <w:r>
        <w:rPr>
          <w:b w:val="0"/>
          <w:i w:val="0"/>
        </w:rPr>
        <w:t>Dubai, New York, and the danger of a city-wide stereotype</w:t>
      </w:r>
    </w:p>
    <w:p>
      <w:pPr/>
      <w:r>
        <w:rPr>
          <w:b w:val="0"/>
          <w:i w:val="0"/>
        </w:rPr>
        <w:t>The prompt contrasts Dubai’s scarce sidewalks with New York’s crowded ones. The contrast is useful as a starting image, but both cities contain varied districts. Older, dense New York neighbourhoods often have continuous grids and active ground floors; highways, industrial zones, and outer areas can be far less comfortable on foot. Dubai includes highly walkable malls, promenades, transit areas, and newer pedestrian projects alongside districts shaped by extreme heat, superblocks, wide roads, construction, and car travel.</w:t>
      </w:r>
    </w:p>
    <w:p>
      <w:pPr/>
      <w:r>
        <w:rPr>
          <w:b w:val="0"/>
          <w:i w:val="0"/>
        </w:rPr>
        <w:t>Climate does not make walkability irrelevant. It changes the design requirements. Shade, covered connections, short crossings, drinking water, evening activity, and transit integration matter more in severe heat. Nor does density automatically produce a good sidewalk. A narrow route blocked by utilities and vehicles can be intensely urban while remaining inaccessible.</w:t>
      </w:r>
    </w:p>
    <w:p>
      <w:pPr>
        <w:pStyle w:val="Heading2"/>
      </w:pPr>
      <w:r>
        <w:rPr>
          <w:b w:val="0"/>
          <w:i w:val="0"/>
        </w:rPr>
        <w:t>Reading a sidewalk in the field</w:t>
      </w:r>
    </w:p>
    <w:p>
      <w:pPr/>
      <w:r>
        <w:rPr>
          <w:b w:val="0"/>
          <w:i w:val="0"/>
        </w:rPr>
        <w:t>Begin with the clear path: how much width remains after poles, trees, signs, tables, and parked scooters? Follow it for several blocks. Does it continue across driveways and junctions? Are kerb ramps aligned with safe crossings? Can a wheelchair user, a person with a cane, and someone pushing a stroller travel without entering traffic? Notice shade, lighting, drainage, seating, and the speed of nearby vehicles.</w:t>
      </w:r>
    </w:p>
    <w:p>
      <w:pPr/>
      <w:r>
        <w:rPr>
          <w:b w:val="0"/>
          <w:i w:val="0"/>
        </w:rPr>
        <w:t>Then watch social use. Who moves quickly, who waits, who sells, and who is asked to leave? A pavement can be physically generous but socially hostile if security practices exclude young people or unhoused residents. It can be socially lively but physically dangerous when crowding forces people into the road. The best analysis holds infrastructure and behaviour together.</w:t>
      </w:r>
    </w:p>
    <w:p>
      <w:pPr/>
      <w:r>
        <w:rPr>
          <w:b w:val="0"/>
          <w:i w:val="0"/>
        </w:rPr>
        <w:t>Time changes the reading. Observe the same block before school, at midday, after rain, and at night. A route that seems empty at noon may carry children in a short peak; a legal vending area may become impossible when bins are collected; lighting that appears adequate from a car may leave faces and kerbs invisible to a walker. Sidewalk capacity is a pattern across hours, not one count taken when the surveyor happened to arrive.</w:t>
      </w:r>
    </w:p>
    <w:p>
      <w:pPr>
        <w:pStyle w:val="Heading2"/>
      </w:pPr>
      <w:r>
        <w:rPr>
          <w:b w:val="0"/>
          <w:i w:val="0"/>
        </w:rPr>
        <w:t>The junction is where a sidewalk proves itself</w:t>
      </w:r>
    </w:p>
    <w:p>
      <w:pPr/>
      <w:r>
        <w:rPr>
          <w:b w:val="0"/>
          <w:i w:val="0"/>
        </w:rPr>
        <w:t>A footway can appear continuous on a map while failing at every crossing. Turning radii that let cars maintain speed, long distances between kerbs, signals that give walkers only a few seconds, and vehicles stopped across the marked route transfer risk to the person outside the car. Raised crossings, refuge islands, shorter corners, visible stop lines, and slower turning geometry make the pedestrian route legible through the junction rather than ending it at the kerb.</w:t>
      </w:r>
    </w:p>
    <w:p>
      <w:pPr/>
      <w:r>
        <w:rPr>
          <w:b w:val="0"/>
          <w:i w:val="0"/>
        </w:rPr>
        <w:t>Maintenance has the same importance as opening-day design. Tree roots, construction barriers, snow, standing water, parked vehicles, and broken paving can remove an accessible route without any law formally changing. Responsibility should be clear enough that a user can report a blockage and expect repair. Infrastructure is a service over time, not a photograph of newly laid concrete.</w:t>
      </w:r>
    </w:p>
    <w:p>
      <w:pPr>
        <w:pStyle w:val="WSCSourceNote"/>
        <w:shd w:fill="F7EACC" w:val="clear"/>
        <w:pBdr>
          <w:left w:val="single" w:sz="14" w:space="6" w:color="C89C44"/>
        </w:pBdr>
      </w:pPr>
      <w:r>
        <w:rPr>
          <w:b/>
          <w:i w:val="0"/>
        </w:rPr>
        <w:t>Sources for this chapter:</w:t>
      </w:r>
      <w:r>
        <w:rPr>
          <w:b w:val="0"/>
          <w:i w:val="0"/>
        </w:rPr>
        <w:t xml:space="preserve"> the official WSC sidewalk prompt, read with the curriculum packet’s accounts of </w:t>
      </w:r>
      <w:hyperlink r:id="rId12">
        <w:r>
          <w:rPr>
            <w:rStyle w:val="WSCLink"/>
            <w:rFonts w:ascii="Georgia" w:hAnsi="Georgia" w:eastAsia="Georgia" w:cs="Georgia"/>
            <w:color w:val="825F1F"/>
            <w:u w:val="single"/>
          </w:rPr>
          <w:t>Pompeian streets</w:t>
        </w:r>
      </w:hyperlink>
      <w:r>
        <w:rPr>
          <w:b w:val="0"/>
          <w:i w:val="0"/>
        </w:rPr>
        <w:t xml:space="preserve"> and </w:t>
      </w:r>
      <w:hyperlink r:id="rId13">
        <w:r>
          <w:rPr>
            <w:rStyle w:val="WSCLink"/>
            <w:rFonts w:ascii="Georgia" w:hAnsi="Georgia" w:eastAsia="Georgia" w:cs="Georgia"/>
            <w:color w:val="825F1F"/>
            <w:u w:val="single"/>
          </w:rPr>
          <w:t>raised pedestrian routes</w:t>
        </w:r>
      </w:hyperlink>
      <w:r>
        <w:rPr>
          <w:b w:val="0"/>
          <w:i w:val="0"/>
        </w:rPr>
        <w:t>. These ancient examples establish a precedent, not one simple birthplace for every modern sidewalk.</w:t>
      </w:r>
    </w:p>
    <w:p>
      <w:pPr>
        <w:pStyle w:val="Heading1"/>
        <w:pageBreakBefore/>
        <w:pBdr>
          <w:bottom w:val="single" w:sz="9" w:space="5" w:color="C89C44"/>
        </w:pBdr>
      </w:pPr>
      <w:r>
        <w:rPr>
          <w:b w:val="0"/>
          <w:i w:val="0"/>
        </w:rPr>
        <w:t>Chapter 2 - Walkability and ordinary freedom</w:t>
      </w:r>
    </w:p>
    <w:p>
      <w:pPr/>
      <w:r>
        <w:rPr>
          <w:b w:val="0"/>
          <w:i w:val="0"/>
        </w:rPr>
        <w:t>The moving sidewalk seems to solve walking by removing effort. Stand on a belt and the city carries you forward. Its long history shows why an idea can be technologically real and still fail to become ordinary infrastructure. The missing ingredient is not invention. It is fit between a machine, a place, and the unpredictable ways people move.</w:t>
      </w:r>
    </w:p>
    <w:p>
      <w:pPr>
        <w:pStyle w:val="Heading2"/>
      </w:pPr>
      <w:r>
        <w:rPr>
          <w:b w:val="0"/>
          <w:i w:val="0"/>
        </w:rPr>
        <w:t xml:space="preserve">A future imagined before </w:t>
      </w:r>
      <w:r>
        <w:rPr>
          <w:b w:val="0"/>
          <w:i/>
        </w:rPr>
        <w:t>The Jetsons</w:t>
      </w:r>
    </w:p>
    <w:p>
      <w:pPr/>
      <w:r>
        <w:rPr>
          <w:b w:val="0"/>
          <w:i w:val="0"/>
        </w:rPr>
        <w:t xml:space="preserve">The curriculum’s </w:t>
      </w:r>
      <w:hyperlink r:id="rId14">
        <w:r>
          <w:rPr>
            <w:rStyle w:val="WSCLink"/>
            <w:rFonts w:ascii="Georgia" w:hAnsi="Georgia" w:eastAsia="Georgia" w:cs="Georgia"/>
            <w:color w:val="825F1F"/>
            <w:u w:val="single"/>
          </w:rPr>
          <w:t>history of moving sidewalks (L074)</w:t>
        </w:r>
      </w:hyperlink>
      <w:r>
        <w:rPr>
          <w:b w:val="0"/>
          <w:i w:val="0"/>
        </w:rPr>
        <w:t xml:space="preserve"> reaches back to nineteenth-century proposals and exhibition systems. The </w:t>
      </w:r>
      <w:hyperlink r:id="rId15">
        <w:r>
          <w:rPr>
            <w:rStyle w:val="WSCLink"/>
            <w:rFonts w:ascii="Georgia" w:hAnsi="Georgia" w:eastAsia="Georgia" w:cs="Georgia"/>
            <w:color w:val="825F1F"/>
            <w:u w:val="single"/>
          </w:rPr>
          <w:t>record of the first moving walkway</w:t>
        </w:r>
      </w:hyperlink>
      <w:r>
        <w:rPr>
          <w:b w:val="0"/>
          <w:i w:val="0"/>
        </w:rPr>
        <w:t xml:space="preserve"> identifies the 1893 World’s Columbian Exposition in Chicago, where a movable platform carried visitors along a pier. Later world’s fairs and transport schemes treated continuous moving platforms as symbols of modern urban flow.</w:t>
      </w:r>
    </w:p>
    <w:p>
      <w:pPr/>
      <w:r>
        <w:rPr>
          <w:b w:val="0"/>
          <w:i w:val="0"/>
        </w:rPr>
        <w:t>These systems were not all identical to the flat travelators familiar in airports. Some proposals imagined several parallel platforms moving at increasing speeds, so passengers would step from a slow belt to a faster one. That arrangement promised high capacity without a train timetable, but every transfer created risk. Clothing, luggage, wheelchairs, children, distraction, and a crowded exit make continuous acceleration much harder than a drawing suggests.</w:t>
      </w:r>
    </w:p>
    <w:p>
      <w:pPr>
        <w:pStyle w:val="Heading2"/>
      </w:pPr>
      <w:r>
        <w:rPr>
          <w:b w:val="0"/>
          <w:i w:val="0"/>
        </w:rPr>
        <w:t>Why airports are the machine’s natural habitat</w:t>
      </w:r>
    </w:p>
    <w:p>
      <w:pPr/>
      <w:r>
        <w:rPr>
          <w:b w:val="0"/>
          <w:i w:val="0"/>
        </w:rPr>
        <w:t>Moving walkways succeed where the route is long, straight, predictable, and controlled. Airports have secure interiors, professional maintenance, high passenger volumes, climate control, and travellers who need to cover large terminal distances. Amusement parks and exhibitions share several of those conditions. The machine occupies valuable floor space, consumes energy, needs shutdown procedures, and creates entry and exit points that designers can manage.</w:t>
      </w:r>
    </w:p>
    <w:p>
      <w:pPr/>
      <w:r>
        <w:rPr>
          <w:b w:val="0"/>
          <w:i w:val="0"/>
        </w:rPr>
        <w:t>An ordinary pavement is less obedient. People stop at shop windows, turn into doors, cross paths, walk dogs, unload goods, play, protest, and change speed. Rain, leaves, litter, flooding, and road works enter the system. A fixed sidewalk fails gracefully: if one slab cracks, pedestrians may still pass. A long mechanical belt can fail as a complete service and become an obstacle that is unpleasant to walk over.</w:t>
      </w:r>
    </w:p>
    <w:p>
      <w:pPr/>
      <w:r>
        <w:rPr>
          <w:b w:val="0"/>
          <w:i w:val="0"/>
        </w:rPr>
        <w:t>Capacity is another complication. If users stand side by side, the walkway may carry many people slowly. If some walk while others stand, arguments about lane etiquette arise. At the exit, everyone must disperse into ordinary space. Speeding the middle of a journey creates little benefit if the bottleneck is a security queue, street crossing, or narrow doorway.</w:t>
      </w:r>
    </w:p>
    <w:p>
      <w:pPr>
        <w:pStyle w:val="Heading2"/>
      </w:pPr>
      <w:r>
        <w:rPr>
          <w:b w:val="0"/>
          <w:i w:val="0"/>
        </w:rPr>
        <w:t>Walkability is access to choices</w:t>
      </w:r>
    </w:p>
    <w:p>
      <w:pPr/>
      <w:r>
        <w:rPr>
          <w:b w:val="0"/>
          <w:i w:val="0"/>
        </w:rPr>
        <w:t>Walking is not merely slow transport. It permits spontaneous stopping, route changes, observation, and social contact. A walkable district places useful destinations within reach and makes the route safe, legible, and comfortable. Land use therefore matters alongside pavement quality. A perfect sidewalk beside kilometres of blank wall does not provide the ordinary freedom of a connected street with homes, schools, food, work, and transit nearby.</w:t>
      </w:r>
    </w:p>
    <w:p>
      <w:pPr/>
      <w:r>
        <w:rPr>
          <w:b w:val="0"/>
          <w:i w:val="0"/>
        </w:rPr>
        <w:t>That freedom is unequal. A healthy adult may treat an extra 500 metres as a pleasant choice. For someone in pain, carrying a child, working on a tight schedule, or exposed to dangerous heat, it may close the destination. Benches, toilets, shade, crossing time, and frequent entrances determine who can use the route independently.</w:t>
      </w:r>
    </w:p>
    <w:p>
      <w:pPr>
        <w:pStyle w:val="Heading2"/>
      </w:pPr>
      <w:r>
        <w:rPr>
          <w:b w:val="0"/>
          <w:i w:val="0"/>
        </w:rPr>
        <w:t>Where a moving walkway might still belong</w:t>
      </w:r>
    </w:p>
    <w:p>
      <w:pPr/>
      <w:r>
        <w:rPr>
          <w:b w:val="0"/>
          <w:i w:val="0"/>
        </w:rPr>
        <w:t>A strong proposal starts with a measured problem. It might connect distant platforms inside a major station, serve an underground pedestrian tunnel with constant flow, or shorten a long hospital connection where many users have limited mobility. The proposal should compare a travelator with alternatives: a shuttle, lifts, improved wayfinding, shaded ordinary walking, or relocating the destinations closer together.</w:t>
      </w:r>
    </w:p>
    <w:p>
      <w:pPr/>
      <w:r>
        <w:rPr>
          <w:b w:val="0"/>
          <w:i w:val="0"/>
        </w:rPr>
        <w:t>Then examine failure. Can people continue if the belt stops? Does it serve wheelchairs and luggage safely? Will maintenance be funded after the opening ceremony? Where do queues form? A futuristic device earns its place when it improves the complete journey, not when it merely makes one segment look fast.</w:t>
      </w:r>
    </w:p>
    <w:p>
      <w:pPr>
        <w:pStyle w:val="Heading2"/>
      </w:pPr>
      <w:r>
        <w:rPr>
          <w:b w:val="0"/>
          <w:i w:val="0"/>
        </w:rPr>
        <w:t>Time saved has to be measured across the whole trip</w:t>
      </w:r>
    </w:p>
    <w:p>
      <w:pPr/>
      <w:r>
        <w:rPr>
          <w:b w:val="0"/>
          <w:i w:val="0"/>
        </w:rPr>
        <w:t>Suppose a walkway carries a traveller 300 metres at a modest additional speed. The saving may be only a few minutes, and it can disappear in the time spent reaching the entrance or waiting to merge at the exit. Designers should compare door-to-door travel, not maximum belt speed. They should also measure throughput during peaks, recovery after breakdown, energy use, maintenance access, and the space that could have held a wider ordinary path.</w:t>
      </w:r>
    </w:p>
    <w:p>
      <w:pPr/>
      <w:r>
        <w:rPr>
          <w:b w:val="0"/>
          <w:i w:val="0"/>
        </w:rPr>
        <w:t>There is a human-behaviour feedback too. If the device makes a terminal connection seem acceptable, planners may place gates farther apart. The machine then solves some of the distance its own planning assumptions helped create. This resembles added road capacity that encourages longer driving. A transport improvement should not be judged only by how quickly it moves people through a layout that could itself be reconsidered.</w:t>
      </w:r>
    </w:p>
    <w:p>
      <w:pPr>
        <w:pStyle w:val="Heading2"/>
      </w:pPr>
      <w:r>
        <w:rPr>
          <w:b w:val="0"/>
          <w:i w:val="0"/>
        </w:rPr>
        <w:t>The deeper lesson of a niche success</w:t>
      </w:r>
    </w:p>
    <w:p>
      <w:pPr/>
      <w:r>
        <w:rPr>
          <w:b w:val="0"/>
          <w:i w:val="0"/>
        </w:rPr>
        <w:t>Moving sidewalks did not “fail” if they solved a specialised problem in airports for decades. They failed only relative to a dream of replacing ordinary urban walking. That distinction matters throughout the 2026 curriculum. A technology can arrive somewhere without arriving everywhere. Its limits may demonstrate good adaptation rather than disappointing progress.</w:t>
      </w:r>
    </w:p>
    <w:p>
      <w:pPr/>
      <w:r>
        <w:rPr>
          <w:b w:val="0"/>
          <w:i w:val="0"/>
        </w:rPr>
        <w:t>For an official-round comparison, ask which environmental conditions make the system viable. Then identify what ordinary behaviour it assumes. If the design needs people to move in one direction, never stop, and enter at a controlled point, a street full of mixed purposes will resist it. Progress depends on fitting the solution to the journey people are actually taking.</w:t>
      </w:r>
    </w:p>
    <w:p>
      <w:pPr>
        <w:pStyle w:val="WSCSourceNote"/>
        <w:shd w:fill="F7EACC" w:val="clear"/>
        <w:pBdr>
          <w:left w:val="single" w:sz="14" w:space="6" w:color="C89C44"/>
        </w:pBdr>
      </w:pPr>
      <w:r>
        <w:rPr>
          <w:b/>
          <w:i w:val="0"/>
        </w:rPr>
        <w:t>Sources for this chapter:</w:t>
      </w:r>
      <w:r>
        <w:rPr>
          <w:b w:val="0"/>
          <w:i w:val="0"/>
        </w:rPr>
        <w:t xml:space="preserve"> the official curriculum’s </w:t>
      </w:r>
      <w:hyperlink r:id="rId14">
        <w:r>
          <w:rPr>
            <w:rStyle w:val="WSCLink"/>
            <w:rFonts w:ascii="Georgia" w:hAnsi="Georgia" w:eastAsia="Georgia" w:cs="Georgia"/>
            <w:color w:val="825F1F"/>
            <w:u w:val="single"/>
          </w:rPr>
          <w:t>history of moving sidewalks (L074)</w:t>
        </w:r>
      </w:hyperlink>
      <w:r>
        <w:rPr>
          <w:b w:val="0"/>
          <w:i w:val="0"/>
        </w:rPr>
        <w:t xml:space="preserve"> and the supplementary </w:t>
      </w:r>
      <w:hyperlink r:id="rId15">
        <w:r>
          <w:rPr>
            <w:rStyle w:val="WSCLink"/>
            <w:rFonts w:ascii="Georgia" w:hAnsi="Georgia" w:eastAsia="Georgia" w:cs="Georgia"/>
            <w:color w:val="825F1F"/>
            <w:u w:val="single"/>
          </w:rPr>
          <w:t>record of the 1893 moving walkway</w:t>
        </w:r>
      </w:hyperlink>
      <w:r>
        <w:rPr>
          <w:b w:val="0"/>
          <w:i w:val="0"/>
        </w:rPr>
        <w:t>. The airport and street comparison explains why the same technology can be successful in one environment and unsuitable in another.</w:t>
      </w:r>
    </w:p>
    <w:p>
      <w:pPr>
        <w:pStyle w:val="Heading1"/>
        <w:pageBreakBefore/>
        <w:pBdr>
          <w:bottom w:val="single" w:sz="9" w:space="5" w:color="C89C44"/>
        </w:pBdr>
      </w:pPr>
      <w:r>
        <w:rPr>
          <w:b w:val="0"/>
          <w:i w:val="0"/>
        </w:rPr>
        <w:t>Chapter 3 - Accessibility as public design</w:t>
      </w:r>
    </w:p>
    <w:p>
      <w:pPr/>
      <w:r>
        <w:rPr>
          <w:b w:val="0"/>
          <w:i w:val="0"/>
        </w:rPr>
        <w:t>Parking looks like a private convenience: a driver leaves one vehicle in one space. At city scale, it is a land system. Spaces appear beside kerbs, behind shops, beneath buildings, in front yards, and inside multistorey structures. Rules requiring or subsidising those spaces change the distance between destinations, the price of housing, and the safety of the sidewalk.</w:t>
      </w:r>
    </w:p>
    <w:p>
      <w:pPr>
        <w:pStyle w:val="Heading2"/>
      </w:pPr>
      <w:r>
        <w:rPr>
          <w:b w:val="0"/>
          <w:i w:val="0"/>
        </w:rPr>
        <w:t>How storage became an assumed right</w:t>
      </w:r>
    </w:p>
    <w:p>
      <w:pPr/>
      <w:r>
        <w:rPr>
          <w:b w:val="0"/>
          <w:i w:val="0"/>
        </w:rPr>
        <w:t>Early city streets were shared and contested. As car ownership increased, drivers needed places to leave vehicles near homes, shops, and offices. Kerb management, parking meters, garages, and off-street requirements developed as governments tried to control congestion and protect access. Over time, free parking came to feel natural even though land, paving, drainage, enforcement, and construction always cost someone money.</w:t>
      </w:r>
    </w:p>
    <w:p>
      <w:pPr/>
      <w:r>
        <w:rPr>
          <w:b w:val="0"/>
          <w:i w:val="0"/>
        </w:rPr>
        <w:t xml:space="preserve">The curriculum states that the United States has at least a billion parking spaces, roughly three for every person. Exact national counts are estimates because no single inventory records every private and public space. The larger point is robust: many American places devote enormous areas to vehicle storage. The linked </w:t>
      </w:r>
      <w:hyperlink r:id="rId16">
        <w:r>
          <w:rPr>
            <w:rStyle w:val="WSCLink"/>
            <w:rFonts w:ascii="Georgia" w:hAnsi="Georgia" w:eastAsia="Georgia" w:cs="Georgia"/>
            <w:color w:val="825F1F"/>
            <w:u w:val="single"/>
          </w:rPr>
          <w:t xml:space="preserve">NPR discussion of </w:t>
        </w:r>
      </w:hyperlink>
      <w:hyperlink r:id="rId16">
        <w:r>
          <w:rPr>
            <w:rStyle w:val="WSCLink"/>
            <w:rFonts w:ascii="Georgia" w:hAnsi="Georgia" w:eastAsia="Georgia" w:cs="Georgia"/>
            <w:color w:val="825F1F"/>
            <w:u w:val="single"/>
            <w:i/>
          </w:rPr>
          <w:t>Paved Paradise</w:t>
        </w:r>
      </w:hyperlink>
      <w:hyperlink r:id="rId16">
        <w:r>
          <w:rPr>
            <w:rStyle w:val="WSCLink"/>
            <w:rFonts w:ascii="Georgia" w:hAnsi="Georgia" w:eastAsia="Georgia" w:cs="Georgia"/>
            <w:color w:val="825F1F"/>
            <w:u w:val="single"/>
          </w:rPr>
          <w:t xml:space="preserve"> (L075)</w:t>
        </w:r>
      </w:hyperlink>
      <w:r>
        <w:rPr>
          <w:b w:val="0"/>
          <w:i w:val="0"/>
        </w:rPr>
        <w:t xml:space="preserve"> explains how policy helped produce that landscape and how abundant parking reshaped expectations.</w:t>
      </w:r>
    </w:p>
    <w:p>
      <w:pPr/>
      <w:r>
        <w:rPr>
          <w:b w:val="0"/>
          <w:i w:val="0"/>
        </w:rPr>
        <w:t>Minimum parking rules are a key mechanism. If a restaurant, apartment building, or school must provide a set number of spaces, each project uses more land or pays for structured parking. Destinations spread apart, walking routes lengthen, and construction costs can be passed to residents and customers whether or not they drive. Removing a minimum does not ban parking. It allows the amount to respond more directly to place, price, transit, and demand.</w:t>
      </w:r>
    </w:p>
    <w:p>
      <w:pPr>
        <w:pStyle w:val="Heading2"/>
      </w:pPr>
      <w:r>
        <w:rPr>
          <w:b w:val="0"/>
          <w:i w:val="0"/>
        </w:rPr>
        <w:t>Free to the driver is not free to the city</w:t>
      </w:r>
    </w:p>
    <w:p>
      <w:pPr/>
      <w:r>
        <w:rPr>
          <w:b w:val="0"/>
          <w:i w:val="0"/>
        </w:rPr>
        <w:t>A kerb space has alternative uses: a bus lane, cycle lane, loading zone, trees, wider footway, seating, rain garden, or access ramp. Offering it without a price may be reasonable on a quiet street with little competition. In a busy district, underpricing can encourage drivers to circle for a rare opening, increase traffic, and prevent short visits or deliveries. Pricing and time limits are ways to manage turnover, not declarations that cars are unwelcome.</w:t>
      </w:r>
    </w:p>
    <w:p>
      <w:pPr/>
      <w:r>
        <w:rPr>
          <w:b w:val="0"/>
          <w:i w:val="0"/>
        </w:rPr>
        <w:t>At home and work, the fairness question has no universal answer. A resident with limited mobility may depend on close vehicle access. A night worker in an area without safe transit has different needs from an office employee beside a railway station. Employers can provide parking, transit support, cycling facilities, or flexible work, but each benefit distributes cost differently. Calling one option a “right” can close the discussion before its land and social consequences are visible.</w:t>
      </w:r>
    </w:p>
    <w:p>
      <w:pPr>
        <w:pStyle w:val="Heading2"/>
      </w:pPr>
      <w:r>
        <w:rPr>
          <w:b w:val="0"/>
          <w:i w:val="0"/>
        </w:rPr>
        <w:t>Accessibility is broader than parking supply</w:t>
      </w:r>
    </w:p>
    <w:p>
      <w:pPr/>
      <w:r>
        <w:rPr>
          <w:b w:val="0"/>
          <w:i w:val="0"/>
        </w:rPr>
        <w:t>Accessible parking spaces matter because some disabled users need room to transfer, a short route, and reliable proximity. Yet an accessible bay cannot compensate for a missing kerb ramp, a broken lift, a blocked footway, or an unsafe crossing. A city designed only around driving may make non-drivers dependent even when it offers many designated spaces.</w:t>
      </w:r>
    </w:p>
    <w:p>
      <w:pPr/>
      <w:r>
        <w:rPr>
          <w:b w:val="0"/>
          <w:i w:val="0"/>
        </w:rPr>
        <w:t>Universal design asks whether environments can be used by people with varied bodies, senses, and circumstances without requiring a special journey. On sidewalks, tactile paving can indicate crossings, audible signals can communicate timing, gentle slopes can support wheels, and clear contrast can help low-vision users. Good design still requires consultation: a feature helpful to one group may create difficulty for another if placed poorly.</w:t>
      </w:r>
    </w:p>
    <w:p>
      <w:pPr>
        <w:pStyle w:val="Heading2"/>
      </w:pPr>
      <w:r>
        <w:rPr>
          <w:b w:val="0"/>
          <w:i w:val="0"/>
        </w:rPr>
        <w:t>The geometry of the car-oriented block</w:t>
      </w:r>
    </w:p>
    <w:p>
      <w:pPr/>
      <w:r>
        <w:rPr>
          <w:b w:val="0"/>
          <w:i w:val="0"/>
        </w:rPr>
        <w:t>Large surface lots push buildings away from the street. Driveways interrupt the pavement, and turning vehicles cross the pedestrian route. A destination may be visible across asphalt while legally or safely reachable only by a long path. The parking is described as access for drivers while functioning as a barrier for everyone outside a vehicle.</w:t>
      </w:r>
    </w:p>
    <w:p>
      <w:pPr/>
      <w:r>
        <w:rPr>
          <w:b w:val="0"/>
          <w:i w:val="0"/>
        </w:rPr>
        <w:t>Structured parking uses less land area per space but costs more and can produce blank street edges if ramps and garage walls dominate the ground floor. Underground parking hides vehicles but requires excavation, ventilation, and energy. Every form has a trade-off. The useful question is not whether all parking should disappear, but how much, where, at whose expense, and with what effect on the complete public route.</w:t>
      </w:r>
    </w:p>
    <w:p>
      <w:pPr>
        <w:pStyle w:val="Heading2"/>
      </w:pPr>
      <w:r>
        <w:rPr>
          <w:b w:val="0"/>
          <w:i w:val="0"/>
        </w:rPr>
        <w:t>From inventory to policy</w:t>
      </w:r>
    </w:p>
    <w:p>
      <w:pPr/>
      <w:r>
        <w:rPr>
          <w:b w:val="0"/>
          <w:i w:val="0"/>
        </w:rPr>
        <w:t>If a town believes it lacks parking, count occupancy at different times before building more. A shortage at one block may coexist with empty private spaces nearby that cannot be shared. Wayfinding, pricing, permits, delivery schedules, and agreements between uses with different peak times can release capacity without new paving. If spaces remain necessary, shade, solar canopies, permeable surfaces, and safe pedestrian aisles can reduce some harm.</w:t>
      </w:r>
    </w:p>
    <w:p>
      <w:pPr/>
      <w:r>
        <w:rPr>
          <w:b w:val="0"/>
          <w:i w:val="0"/>
        </w:rPr>
        <w:t>Parking policy is therefore a test of what the year theme calls arrival. A driver wants to arrive close to a door. A child wants to cross without fear. A shop wants customers and deliveries. A resident wants affordable housing. A climate plan wants less heat and fewer emissions. Public design cannot grant every desire without conflict. It has to make the conflict explicit and choose a distribution that can be defended.</w:t>
      </w:r>
    </w:p>
    <w:p>
      <w:pPr/>
      <w:r>
        <w:rPr>
          <w:b w:val="0"/>
          <w:i w:val="0"/>
        </w:rPr>
        <w:t>A useful comparison is between availability and guarantee. A city can aim to keep some kerb spaces available through pricing and time limits without guaranteeing every driver a free space at the exact destination. It can reserve close spaces for disabled users and deliveries while directing longer stays elsewhere. This turns parking from an unlimited entitlement into a managed public resource, with priorities that can be debated and measured.</w:t>
      </w:r>
    </w:p>
    <w:p>
      <w:pPr>
        <w:pStyle w:val="WSCSourceNote"/>
        <w:shd w:fill="F7EACC" w:val="clear"/>
        <w:pBdr>
          <w:left w:val="single" w:sz="14" w:space="6" w:color="C89C44"/>
        </w:pBdr>
      </w:pPr>
      <w:r>
        <w:rPr>
          <w:b/>
          <w:i w:val="0"/>
        </w:rPr>
        <w:t>Sources for this chapter:</w:t>
      </w:r>
      <w:r>
        <w:rPr>
          <w:b w:val="0"/>
          <w:i w:val="0"/>
        </w:rPr>
        <w:t xml:space="preserve"> the official </w:t>
      </w:r>
      <w:hyperlink r:id="rId16">
        <w:r>
          <w:rPr>
            <w:rStyle w:val="WSCLink"/>
            <w:rFonts w:ascii="Georgia" w:hAnsi="Georgia" w:eastAsia="Georgia" w:cs="Georgia"/>
            <w:color w:val="825F1F"/>
            <w:u w:val="single"/>
          </w:rPr>
          <w:t>NPR parking history (L075)</w:t>
        </w:r>
      </w:hyperlink>
      <w:r>
        <w:rPr>
          <w:b w:val="0"/>
          <w:i w:val="0"/>
        </w:rPr>
        <w:t xml:space="preserve"> and its </w:t>
      </w:r>
      <w:hyperlink r:id="rId17">
        <w:r>
          <w:rPr>
            <w:rStyle w:val="WSCLink"/>
            <w:rFonts w:ascii="Georgia" w:hAnsi="Georgia" w:eastAsia="Georgia" w:cs="Georgia"/>
            <w:color w:val="825F1F"/>
            <w:u w:val="single"/>
          </w:rPr>
          <w:t>transcript mirror</w:t>
        </w:r>
      </w:hyperlink>
      <w:r>
        <w:rPr>
          <w:b w:val="0"/>
          <w:i w:val="0"/>
        </w:rPr>
        <w:t>. National parking totals are estimates; the chapter uses them to examine scale rather than claim a perfectly counted inventory.</w:t>
      </w:r>
    </w:p>
    <w:p>
      <w:pPr>
        <w:pStyle w:val="Heading1"/>
        <w:pageBreakBefore/>
        <w:pBdr>
          <w:bottom w:val="single" w:sz="9" w:space="5" w:color="C89C44"/>
        </w:pBdr>
      </w:pPr>
      <w:r>
        <w:rPr>
          <w:b w:val="0"/>
          <w:i w:val="0"/>
        </w:rPr>
        <w:t>Chapter 4 - Cars, parking, and hostile space</w:t>
      </w:r>
    </w:p>
    <w:p>
      <w:pPr/>
      <w:r>
        <w:rPr>
          <w:b w:val="0"/>
          <w:i w:val="0"/>
        </w:rPr>
        <w:t>A parking structure is usually judged by capacity, circulation, safety, cost, and how quickly a driver can leave it. The curriculum deliberately selects garages that demand another look. Their ramps, facades, ruins, light wells, gardens, and adaptable frames turn car storage into architecture. The question is not whether decoration makes parking good. It is what design can reveal or change about an overlooked threshold.</w:t>
      </w:r>
    </w:p>
    <w:p>
      <w:pPr>
        <w:pStyle w:val="Heading2"/>
      </w:pPr>
      <w:r>
        <w:rPr>
          <w:b w:val="0"/>
          <w:i w:val="0"/>
        </w:rPr>
        <w:t>A garage can stage movement</w:t>
      </w:r>
    </w:p>
    <w:p>
      <w:pPr/>
      <w:r>
        <w:rPr>
          <w:b w:val="0"/>
          <w:i w:val="0"/>
        </w:rPr>
        <w:t xml:space="preserve">Paul Rudolph’s </w:t>
      </w:r>
      <w:hyperlink r:id="rId18">
        <w:r>
          <w:rPr>
            <w:rStyle w:val="WSCLink"/>
            <w:rFonts w:ascii="Georgia" w:hAnsi="Georgia" w:eastAsia="Georgia" w:cs="Georgia"/>
            <w:color w:val="825F1F"/>
            <w:u w:val="single"/>
          </w:rPr>
          <w:t>Temple Street Parking Garage in New Haven (L076)</w:t>
        </w:r>
      </w:hyperlink>
      <w:r>
        <w:rPr>
          <w:b w:val="0"/>
          <w:i w:val="0"/>
        </w:rPr>
        <w:t xml:space="preserve"> uses sculptural concrete and expressive ramps to make vehicle circulation visible. The building belongs to the ambitious modern redevelopment of downtown New Haven and therefore carries two histories: architectural invention and urban renewal that often displaced existing communities. Admiring the form should not erase the planning system around it.</w:t>
      </w:r>
    </w:p>
    <w:p>
      <w:pPr/>
      <w:r>
        <w:rPr>
          <w:b w:val="0"/>
          <w:i w:val="0"/>
        </w:rPr>
        <w:t xml:space="preserve">The </w:t>
      </w:r>
      <w:hyperlink r:id="rId19">
        <w:r>
          <w:rPr>
            <w:rStyle w:val="WSCLink"/>
            <w:rFonts w:ascii="Georgia" w:hAnsi="Georgia" w:eastAsia="Georgia" w:cs="Georgia"/>
            <w:color w:val="825F1F"/>
            <w:u w:val="single"/>
          </w:rPr>
          <w:t>Lego Parking House in Billund (L077)</w:t>
        </w:r>
      </w:hyperlink>
      <w:r>
        <w:rPr>
          <w:b w:val="0"/>
          <w:i w:val="0"/>
        </w:rPr>
        <w:t xml:space="preserve"> treats the facade and roof as more than enclosure. Playful elements and public activity connect the structure to the city’s Lego identity. It demonstrates how a single-use utility building can offer something to people who are not parking.</w:t>
      </w:r>
    </w:p>
    <w:p>
      <w:pPr/>
      <w:r>
        <w:rPr>
          <w:b w:val="0"/>
          <w:i w:val="0"/>
        </w:rPr>
        <w:t xml:space="preserve">Lyon’s </w:t>
      </w:r>
      <w:hyperlink r:id="rId20">
        <w:r>
          <w:rPr>
            <w:rStyle w:val="WSCLink"/>
            <w:rFonts w:ascii="Georgia" w:hAnsi="Georgia" w:eastAsia="Georgia" w:cs="Georgia"/>
            <w:color w:val="825F1F"/>
            <w:u w:val="single"/>
          </w:rPr>
          <w:t>Parc des Celestins (L078)</w:t>
        </w:r>
      </w:hyperlink>
      <w:r>
        <w:rPr>
          <w:b w:val="0"/>
          <w:i w:val="0"/>
        </w:rPr>
        <w:t xml:space="preserve"> turns an underground spiral into a visual event. A central shaft and rotating mirror allow visitors to perceive depth and motion beneath the square. Here the architecture does not simply hide parking. It makes the descent itself legible and strange.</w:t>
      </w:r>
    </w:p>
    <w:p>
      <w:pPr>
        <w:pStyle w:val="Heading2"/>
      </w:pPr>
      <w:r>
        <w:rPr>
          <w:b w:val="0"/>
          <w:i w:val="0"/>
        </w:rPr>
        <w:t>Reuse can preserve a contradiction</w:t>
      </w:r>
    </w:p>
    <w:p>
      <w:pPr/>
      <w:r>
        <w:rPr>
          <w:b w:val="0"/>
          <w:i w:val="0"/>
        </w:rPr>
        <w:t xml:space="preserve">Detroit’s </w:t>
      </w:r>
      <w:hyperlink r:id="rId21">
        <w:r>
          <w:rPr>
            <w:rStyle w:val="WSCLink"/>
            <w:rFonts w:ascii="Georgia" w:hAnsi="Georgia" w:eastAsia="Georgia" w:cs="Georgia"/>
            <w:color w:val="825F1F"/>
            <w:u w:val="single"/>
          </w:rPr>
          <w:t>Michigan Theater parking structure (L079)</w:t>
        </w:r>
      </w:hyperlink>
      <w:r>
        <w:rPr>
          <w:b w:val="0"/>
          <w:i w:val="0"/>
        </w:rPr>
        <w:t xml:space="preserve"> occupies the remains of an ornate theatre. Cars sit beneath surviving decorative plaster, producing a powerful image of changing downtown economies and the destructive accommodation of the automobile. It is beautiful in a ruinous way, but that beauty should not turn the loss of a cultural interior into a simple design success.</w:t>
      </w:r>
    </w:p>
    <w:p>
      <w:pPr/>
      <w:r>
        <w:rPr>
          <w:b w:val="0"/>
          <w:i w:val="0"/>
        </w:rPr>
        <w:t xml:space="preserve">The </w:t>
      </w:r>
      <w:hyperlink r:id="rId22">
        <w:r>
          <w:rPr>
            <w:rStyle w:val="WSCLink"/>
            <w:rFonts w:ascii="Georgia" w:hAnsi="Georgia" w:eastAsia="Georgia" w:cs="Georgia"/>
            <w:color w:val="825F1F"/>
            <w:u w:val="single"/>
          </w:rPr>
          <w:t>Garagenatelier in Herdern (L080)</w:t>
        </w:r>
      </w:hyperlink>
      <w:r>
        <w:rPr>
          <w:b w:val="0"/>
          <w:i w:val="0"/>
        </w:rPr>
        <w:t xml:space="preserve"> brings vehicles, workshop activity, and a precise architectural envelope into one composition. It asks whether the garage must be visually separated from making and display. Calgary’s </w:t>
      </w:r>
      <w:hyperlink r:id="rId23">
        <w:r>
          <w:rPr>
            <w:rStyle w:val="WSCLink"/>
            <w:rFonts w:ascii="Georgia" w:hAnsi="Georgia" w:eastAsia="Georgia" w:cs="Georgia"/>
            <w:color w:val="825F1F"/>
            <w:u w:val="single"/>
          </w:rPr>
          <w:t>9th Avenue Parkade (L081)</w:t>
        </w:r>
      </w:hyperlink>
      <w:r>
        <w:rPr>
          <w:b w:val="0"/>
          <w:i w:val="0"/>
        </w:rPr>
        <w:t xml:space="preserve"> takes another route: its structural system was designed with future conversion in mind. Floor heights, ramps, light, and load assumptions can determine whether a garage remains car storage forever or can become housing, work, or public space.</w:t>
      </w:r>
    </w:p>
    <w:p>
      <w:pPr/>
      <w:r>
        <w:rPr>
          <w:b w:val="0"/>
          <w:i w:val="0"/>
        </w:rPr>
        <w:t>Adaptability is a form of honest uncertainty. Designers do not need to predict the exact future use. They can avoid choices that make another use impossible. That is especially valuable in a moment when transport patterns, housing demand, and climate policy may change faster than a concrete frame wears out.</w:t>
      </w:r>
    </w:p>
    <w:p>
      <w:pPr/>
      <w:r>
        <w:rPr>
          <w:b w:val="0"/>
          <w:i w:val="0"/>
        </w:rPr>
        <w:t>Compare the five official garages through the job their architecture performs. Temple Street celebrates the ramp and the motion of the car. Parc des Celestins turns descent into a controlled visual spectacle. The Lego house adds public play to a utility shell. Michigan Theater preserves cultural fragments through an adaptive use that is also evidence of urban loss. Calgary’s parkade makes reversibility a structural requirement. “Architectural flourish” therefore ranges from surface identity to a plan for life after parking; those are not equally durable contributions.</w:t>
      </w:r>
    </w:p>
    <w:p>
      <w:pPr>
        <w:pStyle w:val="Heading2"/>
      </w:pPr>
      <w:r>
        <w:rPr>
          <w:b w:val="0"/>
          <w:i w:val="0"/>
        </w:rPr>
        <w:t>The snout house puts storage in the family portrait</w:t>
      </w:r>
    </w:p>
    <w:p>
      <w:pPr/>
      <w:r>
        <w:rPr>
          <w:b w:val="0"/>
          <w:i w:val="0"/>
        </w:rPr>
        <w:t xml:space="preserve">A </w:t>
      </w:r>
      <w:hyperlink r:id="rId24">
        <w:r>
          <w:rPr>
            <w:rStyle w:val="WSCLink"/>
            <w:rFonts w:ascii="Georgia" w:hAnsi="Georgia" w:eastAsia="Georgia" w:cs="Georgia"/>
            <w:color w:val="825F1F"/>
            <w:u w:val="single"/>
          </w:rPr>
          <w:t>snout house (L082)</w:t>
        </w:r>
      </w:hyperlink>
      <w:r>
        <w:rPr>
          <w:b w:val="0"/>
          <w:i w:val="0"/>
        </w:rPr>
        <w:t xml:space="preserve"> projects its garage toward the street so that the vehicle entrance dominates the facade. The front door may be recessed or turned sideways. The form often results from a narrow lot, a desire for a large attached garage, and development patterns that prioritise vehicle access.</w:t>
      </w:r>
    </w:p>
    <w:p>
      <w:pPr/>
      <w:r>
        <w:rPr>
          <w:b w:val="0"/>
          <w:i w:val="0"/>
        </w:rPr>
        <w:t>The effect reaches beyond taste. A street lined with garage doors has fewer windows and porches facing public space. Driveways interrupt the sidewalk, reduce planting, and create repeated conflict points. Neighbours have fewer casual opportunities to see and speak to one another. A house can provide convenient, weather-protected access for residents while weakening the pedestrian life of the block.</w:t>
      </w:r>
    </w:p>
    <w:p>
      <w:pPr/>
      <w:r>
        <w:rPr>
          <w:b w:val="0"/>
          <w:i w:val="0"/>
        </w:rPr>
        <w:t>Hiding every garage at the rear is not costless. Alleys use land and paving, detached structures can be less convenient, and rear access may be difficult on some sites. The comparison should therefore focus on the relationship between private storage and public edge. A smaller setback, side entry, narrower door, habitable room above, shared parking, or stronger front porch can change that relationship without pretending the car does not exist.</w:t>
      </w:r>
    </w:p>
    <w:p>
      <w:pPr>
        <w:pStyle w:val="Heading2"/>
      </w:pPr>
      <w:r>
        <w:rPr>
          <w:b w:val="0"/>
          <w:i w:val="0"/>
        </w:rPr>
        <w:t>Flourish, invisibility, or transformation?</w:t>
      </w:r>
    </w:p>
    <w:p>
      <w:pPr/>
      <w:r>
        <w:rPr>
          <w:b w:val="0"/>
          <w:i w:val="0"/>
        </w:rPr>
        <w:t>The curriculum asks whether more garages should be architectural masterpieces or as invisible as possible. There is a third option: design them for less parking and eventual change. A spectacular facade can make a harmful amount of car storage easier to accept. An invisible underground garage can preserve a good street while increasing project cost and encouraging driving. An adaptable structure can serve current demand without declaring it permanent.</w:t>
      </w:r>
    </w:p>
    <w:p>
      <w:pPr/>
      <w:r>
        <w:rPr>
          <w:b w:val="0"/>
          <w:i w:val="0"/>
        </w:rPr>
        <w:t>Judge each case at three scales. At the object scale, is the building safe, clear, and well made? At the street scale, does it support walking and public life or present ramps and blank walls? At the city scale, does its capacity fit transport and land goals? Architecture matters at all three. Beauty cannot excuse a damaging system, but utility does not excuse ugliness, fear, or waste.</w:t>
      </w:r>
    </w:p>
    <w:p>
      <w:pPr/>
      <w:r>
        <w:rPr>
          <w:b w:val="0"/>
          <w:i w:val="0"/>
        </w:rPr>
        <w:t>The transfer case is a proposed garage beside a railway station. More parking might let distant residents reach transit, but a large structure at the station entrance could consume land suited to homes and shops, feed traffic across walking routes, and make the first public view a vehicle ramp. A mixed plan might price long stays, protect accessible bays, add safe drop-off and bicycle storage, wrap active uses around the ground floor, and design level floors for later conversion. The solution comes from the full journey, not the garage alone.</w:t>
      </w:r>
    </w:p>
    <w:p>
      <w:pPr>
        <w:pStyle w:val="WSCSourceNote"/>
        <w:shd w:fill="F7EACC" w:val="clear"/>
        <w:pBdr>
          <w:left w:val="single" w:sz="14" w:space="6" w:color="C89C44"/>
        </w:pBdr>
      </w:pPr>
      <w:r>
        <w:rPr>
          <w:b/>
          <w:i w:val="0"/>
        </w:rPr>
        <w:t>Sources for this chapter:</w:t>
      </w:r>
      <w:r>
        <w:rPr>
          <w:b w:val="0"/>
          <w:i w:val="0"/>
        </w:rPr>
        <w:t xml:space="preserve"> all six official architectural links: </w:t>
      </w:r>
      <w:hyperlink r:id="rId18">
        <w:r>
          <w:rPr>
            <w:rStyle w:val="WSCLink"/>
            <w:rFonts w:ascii="Georgia" w:hAnsi="Georgia" w:eastAsia="Georgia" w:cs="Georgia"/>
            <w:color w:val="825F1F"/>
            <w:u w:val="single"/>
          </w:rPr>
          <w:t>Temple Street (L076)</w:t>
        </w:r>
      </w:hyperlink>
      <w:r>
        <w:rPr>
          <w:b w:val="0"/>
          <w:i w:val="0"/>
        </w:rPr>
        <w:t xml:space="preserve">, </w:t>
      </w:r>
      <w:hyperlink r:id="rId19">
        <w:r>
          <w:rPr>
            <w:rStyle w:val="WSCLink"/>
            <w:rFonts w:ascii="Georgia" w:hAnsi="Georgia" w:eastAsia="Georgia" w:cs="Georgia"/>
            <w:color w:val="825F1F"/>
            <w:u w:val="single"/>
          </w:rPr>
          <w:t>Lego Parking House (L077)</w:t>
        </w:r>
      </w:hyperlink>
      <w:r>
        <w:rPr>
          <w:b w:val="0"/>
          <w:i w:val="0"/>
        </w:rPr>
        <w:t xml:space="preserve">, </w:t>
      </w:r>
      <w:hyperlink r:id="rId20">
        <w:r>
          <w:rPr>
            <w:rStyle w:val="WSCLink"/>
            <w:rFonts w:ascii="Georgia" w:hAnsi="Georgia" w:eastAsia="Georgia" w:cs="Georgia"/>
            <w:color w:val="825F1F"/>
            <w:u w:val="single"/>
          </w:rPr>
          <w:t>Parc des Celestins (L078)</w:t>
        </w:r>
      </w:hyperlink>
      <w:r>
        <w:rPr>
          <w:b w:val="0"/>
          <w:i w:val="0"/>
        </w:rPr>
        <w:t xml:space="preserve">, the </w:t>
      </w:r>
      <w:hyperlink r:id="rId21">
        <w:r>
          <w:rPr>
            <w:rStyle w:val="WSCLink"/>
            <w:rFonts w:ascii="Georgia" w:hAnsi="Georgia" w:eastAsia="Georgia" w:cs="Georgia"/>
            <w:color w:val="825F1F"/>
            <w:u w:val="single"/>
          </w:rPr>
          <w:t>Michigan Theater (L079)</w:t>
        </w:r>
      </w:hyperlink>
      <w:r>
        <w:rPr>
          <w:b w:val="0"/>
          <w:i w:val="0"/>
        </w:rPr>
        <w:t xml:space="preserve">, </w:t>
      </w:r>
      <w:hyperlink r:id="rId22">
        <w:r>
          <w:rPr>
            <w:rStyle w:val="WSCLink"/>
            <w:rFonts w:ascii="Georgia" w:hAnsi="Georgia" w:eastAsia="Georgia" w:cs="Georgia"/>
            <w:color w:val="825F1F"/>
            <w:u w:val="single"/>
          </w:rPr>
          <w:t>Garagenatelier (L080)</w:t>
        </w:r>
      </w:hyperlink>
      <w:r>
        <w:rPr>
          <w:b w:val="0"/>
          <w:i w:val="0"/>
        </w:rPr>
        <w:t xml:space="preserve">, and the adaptable </w:t>
      </w:r>
      <w:hyperlink r:id="rId23">
        <w:r>
          <w:rPr>
            <w:rStyle w:val="WSCLink"/>
            <w:rFonts w:ascii="Georgia" w:hAnsi="Georgia" w:eastAsia="Georgia" w:cs="Georgia"/>
            <w:color w:val="825F1F"/>
            <w:u w:val="single"/>
          </w:rPr>
          <w:t>9th Avenue Parkade (L081)</w:t>
        </w:r>
      </w:hyperlink>
      <w:r>
        <w:rPr>
          <w:b w:val="0"/>
          <w:i w:val="0"/>
        </w:rPr>
        <w:t xml:space="preserve">; plus the official </w:t>
      </w:r>
      <w:hyperlink r:id="rId24">
        <w:r>
          <w:rPr>
            <w:rStyle w:val="WSCLink"/>
            <w:rFonts w:ascii="Georgia" w:hAnsi="Georgia" w:eastAsia="Georgia" w:cs="Georgia"/>
            <w:color w:val="825F1F"/>
            <w:u w:val="single"/>
          </w:rPr>
          <w:t>snout-house discussion (L082)</w:t>
        </w:r>
      </w:hyperlink>
      <w:r>
        <w:rPr>
          <w:b w:val="0"/>
          <w:i w:val="0"/>
        </w:rPr>
        <w:t>.</w:t>
      </w:r>
    </w:p>
    <w:p>
      <w:pPr>
        <w:pStyle w:val="Heading1"/>
        <w:pageBreakBefore/>
        <w:pBdr>
          <w:bottom w:val="single" w:sz="9" w:space="5" w:color="C89C44"/>
        </w:pBdr>
      </w:pPr>
      <w:r>
        <w:rPr>
          <w:b w:val="0"/>
          <w:i w:val="0"/>
        </w:rPr>
        <w:t>Chapter 5 - Finding the way through built decisions</w:t>
      </w:r>
    </w:p>
    <w:p>
      <w:pPr/>
      <w:r>
        <w:rPr>
          <w:b w:val="0"/>
          <w:i w:val="0"/>
        </w:rPr>
        <w:t>Frank Lloyd Wright and Los Angeles’s Grand Park provide two different endings to the section. Wright tried to integrate the motor car into a complete architectural vision. Grand Park converted land shaped by parking and civic buildings into a public route and gathering place. Both cases treat the threshold between arrival and dwelling as something that can be redesigned.</w:t>
      </w:r>
    </w:p>
    <w:p>
      <w:pPr>
        <w:pStyle w:val="Heading2"/>
      </w:pPr>
      <w:r>
        <w:rPr>
          <w:b w:val="0"/>
          <w:i w:val="0"/>
        </w:rPr>
        <w:t>Wright did not simply hide the car</w:t>
      </w:r>
    </w:p>
    <w:p>
      <w:pPr/>
      <w:r>
        <w:rPr>
          <w:b w:val="0"/>
          <w:i w:val="0"/>
        </w:rPr>
        <w:t xml:space="preserve">Frank Lloyd Wright was fascinated by the mobility the automobile promised. The official article on </w:t>
      </w:r>
      <w:hyperlink r:id="rId25">
        <w:r>
          <w:rPr>
            <w:rStyle w:val="WSCLink"/>
            <w:rFonts w:ascii="Georgia" w:hAnsi="Georgia" w:eastAsia="Georgia" w:cs="Georgia"/>
            <w:color w:val="825F1F"/>
            <w:u w:val="single"/>
          </w:rPr>
          <w:t>cars living inside architecture (L083)</w:t>
        </w:r>
      </w:hyperlink>
      <w:r>
        <w:rPr>
          <w:b w:val="0"/>
          <w:i w:val="0"/>
        </w:rPr>
        <w:t xml:space="preserve"> shows how vehicles entered his houses, plans, and wider vision of decentralised life. A carport or integrated garage removed the detached shed and made arrival part of the composition. That could blur the boundary between vehicle, home, and landscape, but it also helped normalise a life organised around private driving.</w:t>
      </w:r>
    </w:p>
    <w:p>
      <w:pPr/>
      <w:r>
        <w:rPr>
          <w:b w:val="0"/>
          <w:i w:val="0"/>
        </w:rPr>
        <w:t xml:space="preserve">The </w:t>
      </w:r>
      <w:hyperlink r:id="rId26">
        <w:r>
          <w:rPr>
            <w:rStyle w:val="WSCLink"/>
            <w:rFonts w:ascii="Georgia" w:hAnsi="Georgia" w:eastAsia="Georgia" w:cs="Georgia"/>
            <w:color w:val="825F1F"/>
            <w:u w:val="single"/>
          </w:rPr>
          <w:t>Frederick C. Robie House (L084)</w:t>
        </w:r>
      </w:hyperlink>
      <w:r>
        <w:rPr>
          <w:b w:val="0"/>
          <w:i w:val="0"/>
        </w:rPr>
        <w:t>, completed in Chicago in the early twentieth century, is a major Prairie-style work. Long horizontal lines, projecting roofs, bands of windows, terraces, and flowing interior spaces connect rooms visually while protecting privacy from the street. The plan does not erase every boundary. It layers them. Low ceilings can compress movement before a larger space opens; walls extend outward; furniture, windows, and masonry guide the eye.</w:t>
      </w:r>
    </w:p>
    <w:p>
      <w:pPr/>
      <w:r>
        <w:rPr>
          <w:b w:val="0"/>
          <w:i w:val="0"/>
        </w:rPr>
        <w:t>Calling the house “natural” should therefore mean more than noticing earth colours or horizontal forms. It is a highly controlled composition on an urban site. Wright frames views and choreographs passage. The relationship with nature is designed, not untouched. A school inspired by the same principles might use sheltered outdoor rooms, connected learning spaces, daylight, and built-in furniture. It would also need contemporary accessibility, flexibility, safety, and community requirements that differ from a private 1910 house.</w:t>
      </w:r>
    </w:p>
    <w:p>
      <w:pPr>
        <w:pStyle w:val="Heading2"/>
      </w:pPr>
      <w:r>
        <w:rPr>
          <w:b w:val="0"/>
          <w:i w:val="0"/>
        </w:rPr>
        <w:t>Grand Park makes the route itself public</w:t>
      </w:r>
    </w:p>
    <w:p>
      <w:pPr/>
      <w:r>
        <w:rPr>
          <w:b w:val="0"/>
          <w:i w:val="0"/>
        </w:rPr>
        <w:t xml:space="preserve">Downtown Los Angeles’s civic centre sits across a slope between major government and cultural buildings. The </w:t>
      </w:r>
      <w:hyperlink r:id="rId27">
        <w:r>
          <w:rPr>
            <w:rStyle w:val="WSCLink"/>
            <w:rFonts w:ascii="Georgia" w:hAnsi="Georgia" w:eastAsia="Georgia" w:cs="Georgia"/>
            <w:color w:val="825F1F"/>
            <w:u w:val="single"/>
          </w:rPr>
          <w:t>official curriculum case on Grand Park (L085)</w:t>
        </w:r>
      </w:hyperlink>
      <w:r>
        <w:rPr>
          <w:b w:val="0"/>
          <w:i w:val="0"/>
        </w:rPr>
        <w:t xml:space="preserve"> describes how RIOS transformed parking areas and disconnected civic land into a linked public landscape. Terraces, stairs, accessible routes, fountains, lawns, planting, movable furniture, and strong colour create different ways to cross or remain.</w:t>
      </w:r>
    </w:p>
    <w:p>
      <w:pPr/>
      <w:r>
        <w:rPr>
          <w:b w:val="0"/>
          <w:i w:val="0"/>
        </w:rPr>
        <w:t>The park’s nickname, “the park for everyone,” is an aspiration that must be tested through use. Does programming welcome different communities? Are shade, toilets, transit, and step-free routes available? Can people gather politically as well as recreationally? Who controls permits and security? Public space is not made inclusive once at opening. It is maintained through rules, budgets, events, and everyday tolerance.</w:t>
      </w:r>
    </w:p>
    <w:p>
      <w:pPr/>
      <w:r>
        <w:rPr>
          <w:b w:val="0"/>
          <w:i w:val="0"/>
        </w:rPr>
        <w:t>The project also demonstrates conversion at a larger scale than the adaptable garage. Removing surface parking frees civic land for people, but visitors and workers still need ways to arrive. Transit, remaining garages, drop-off access, walking connections, and regional geography continue to matter. Reclamation works best as part of a transport system rather than as an isolated photograph of greenery replacing asphalt.</w:t>
      </w:r>
    </w:p>
    <w:p>
      <w:pPr/>
      <w:r>
        <w:rPr>
          <w:b w:val="0"/>
          <w:i w:val="0"/>
        </w:rPr>
        <w:t>Grand Park also makes a useful comparison with Robie House. Wright’s layered thresholds guide a small number of residents and guests from street to private interior. The park must guide thousands of strangers across a public slope while allowing them to choose their own pace and purpose. Both use compression and release, framed views, shelter, and horizontal movement, but their accountability differs. A private house can reflect one client’s habits. A civic landscape must remain usable when a festival, protest, lunch break, family visit, or wheelchair route occupies it differently from the designer’s image.</w:t>
      </w:r>
    </w:p>
    <w:p>
      <w:pPr>
        <w:pStyle w:val="Heading2"/>
      </w:pPr>
      <w:r>
        <w:rPr>
          <w:b w:val="0"/>
          <w:i w:val="0"/>
        </w:rPr>
        <w:t>How to propose a local conversion</w:t>
      </w:r>
    </w:p>
    <w:p>
      <w:pPr/>
      <w:r>
        <w:rPr>
          <w:b w:val="0"/>
          <w:i w:val="0"/>
        </w:rPr>
        <w:t>Choose an underused lot only after observing it at different times. Record ownership, peak occupancy, surrounding destinations, shade, drainage, traffic, and community needs. A weekday-empty school lot may be full during events. A privately owned site cannot become a park through imagination alone. Temporary use can test demand: planters, seating, markets, play, or a “parklet” can reveal who comes and what conflicts appear before permanent construction.</w:t>
      </w:r>
    </w:p>
    <w:p>
      <w:pPr/>
      <w:r>
        <w:rPr>
          <w:b w:val="0"/>
          <w:i w:val="0"/>
        </w:rPr>
        <w:t>Design the edges first. People must be able to reach the place without crossing an unsafe sea of traffic. Connect ramps and crossings, make entrances visible, provide shade and rest, and leave room for both programmed events and unplanned presence. Avoid hostile design that prevents lying down or gathering in the name of tidiness. If parking is removed, explain how essential access and deliveries will work.</w:t>
      </w:r>
    </w:p>
    <w:p>
      <w:pPr>
        <w:pStyle w:val="Heading2"/>
      </w:pPr>
      <w:r>
        <w:rPr>
          <w:b w:val="0"/>
          <w:i w:val="0"/>
        </w:rPr>
        <w:t>The sidewalk as the first chapter of arrival</w:t>
      </w:r>
    </w:p>
    <w:p>
      <w:pPr/>
      <w:r>
        <w:rPr>
          <w:b w:val="0"/>
          <w:i w:val="0"/>
        </w:rPr>
        <w:t>The section’s examples form a chain of decisions. The ancient raised path protects the pedestrian from the street. The moving walkway tries to mechanise the path. Abundant parking stretches destinations apart. Garages and snout houses give vehicle storage an architectural face. Wright integrates the car into the home. Grand Park reverses the direction by returning stored-car land to public movement and rest.</w:t>
      </w:r>
    </w:p>
    <w:p>
      <w:pPr/>
      <w:r>
        <w:rPr>
          <w:b w:val="0"/>
          <w:i w:val="0"/>
        </w:rPr>
        <w:t>None of these forms is neutral. Each one teaches behaviour by making some actions easy and others difficult. A broad shaded sidewalk invites a walk; a blank garage wall discourages lingering; a free kerb space invites storage; a movable chair lets a group shape its own conversation. Infrastructure is a quiet curriculum that people study with their bodies every day.</w:t>
      </w:r>
    </w:p>
    <w:p>
      <w:pPr/>
      <w:r>
        <w:rPr>
          <w:b w:val="0"/>
          <w:i w:val="0"/>
        </w:rPr>
        <w:t>That curriculum can be revised incrementally. A city does not need to wait for one heroic park project. It can repair a missing ramp, extend a crossing phase, convert one parking bay into seating, plant shade where heat blocks a school route, and measure who uses the change. Small interventions are prototypes of public priority. Their evidence can support a larger transformation, provided officials listen to users who are usually absent from traffic counts.</w:t>
      </w:r>
    </w:p>
    <w:p>
      <w:pPr>
        <w:pStyle w:val="WSCSourceNote"/>
        <w:shd w:fill="F7EACC" w:val="clear"/>
        <w:pBdr>
          <w:left w:val="single" w:sz="14" w:space="6" w:color="C89C44"/>
        </w:pBdr>
      </w:pPr>
      <w:r>
        <w:rPr>
          <w:b/>
          <w:i w:val="0"/>
        </w:rPr>
        <w:t>Sources for this chapter:</w:t>
      </w:r>
      <w:r>
        <w:rPr>
          <w:b w:val="0"/>
          <w:i w:val="0"/>
        </w:rPr>
        <w:t xml:space="preserve"> the official links on Wright’s </w:t>
      </w:r>
      <w:hyperlink r:id="rId25">
        <w:r>
          <w:rPr>
            <w:rStyle w:val="WSCLink"/>
            <w:rFonts w:ascii="Georgia" w:hAnsi="Georgia" w:eastAsia="Georgia" w:cs="Georgia"/>
            <w:color w:val="825F1F"/>
            <w:u w:val="single"/>
          </w:rPr>
          <w:t>automotive architecture (L083)</w:t>
        </w:r>
      </w:hyperlink>
      <w:r>
        <w:rPr>
          <w:b w:val="0"/>
          <w:i w:val="0"/>
        </w:rPr>
        <w:t xml:space="preserve">, the </w:t>
      </w:r>
      <w:hyperlink r:id="rId26">
        <w:r>
          <w:rPr>
            <w:rStyle w:val="WSCLink"/>
            <w:rFonts w:ascii="Georgia" w:hAnsi="Georgia" w:eastAsia="Georgia" w:cs="Georgia"/>
            <w:color w:val="825F1F"/>
            <w:u w:val="single"/>
          </w:rPr>
          <w:t>Frank Lloyd Wright Trust’s Robie House history (L084)</w:t>
        </w:r>
      </w:hyperlink>
      <w:r>
        <w:rPr>
          <w:b w:val="0"/>
          <w:i w:val="0"/>
        </w:rPr>
        <w:t xml:space="preserve">, and RIOS’s transformed civic landscape as documented by </w:t>
      </w:r>
      <w:hyperlink r:id="rId27">
        <w:r>
          <w:rPr>
            <w:rStyle w:val="WSCLink"/>
            <w:rFonts w:ascii="Georgia" w:hAnsi="Georgia" w:eastAsia="Georgia" w:cs="Georgia"/>
            <w:color w:val="825F1F"/>
            <w:u w:val="single"/>
          </w:rPr>
          <w:t>Landezine (L085)</w:t>
        </w:r>
      </w:hyperlink>
      <w:r>
        <w:rPr>
          <w:b w:val="0"/>
          <w:i w:val="0"/>
        </w:rPr>
        <w:t xml:space="preserve"> and the studio’s </w:t>
      </w:r>
      <w:hyperlink r:id="rId28">
        <w:r>
          <w:rPr>
            <w:rStyle w:val="WSCLink"/>
            <w:rFonts w:ascii="Georgia" w:hAnsi="Georgia" w:eastAsia="Georgia" w:cs="Georgia"/>
            <w:color w:val="825F1F"/>
            <w:u w:val="single"/>
          </w:rPr>
          <w:t>Grand Park project page</w:t>
        </w:r>
      </w:hyperlink>
      <w:r>
        <w:rPr>
          <w:b w:val="0"/>
          <w:i w:val="0"/>
        </w:rPr>
        <w:t>.</w:t>
      </w:r>
    </w:p>
    <w:p>
      <w:pPr>
        <w:pStyle w:val="Heading1"/>
        <w:pBdr>
          <w:bottom w:val="single" w:sz="9" w:space="5" w:color="C89C44"/>
        </w:pBdr>
      </w:pPr>
      <w:r>
        <w:rPr>
          <w:b w:val="0"/>
          <w:i w:val="0"/>
        </w:rPr>
        <w:t>Final synthesis - The path is part of the destination</w:t>
      </w:r>
    </w:p>
    <w:p>
      <w:pPr/>
      <w:r>
        <w:rPr>
          <w:b w:val="0"/>
          <w:i w:val="0"/>
        </w:rPr>
        <w:t>A city can claim that a school, park, shop, or station is open to everyone while the route quietly says otherwise. Missing pavement, short crossing times, garage entrances, heat, steps, and distance can turn formal access into practical exclusion. Conversely, a carefully designed threshold can support safety, independence, exchange, and delight before anyone reaches the front door.</w:t>
      </w:r>
    </w:p>
    <w:p>
      <w:pPr/>
      <w:r>
        <w:rPr>
          <w:b w:val="0"/>
          <w:i w:val="0"/>
        </w:rPr>
        <w:t>The sidewalk is therefore not a minor topic beside the grand year theme. It is where “Are We There Yet?” becomes material. Parking policy changes how far apart places are. A moving walkway reveals that speed works only inside a suitable system. A beautiful garage shows that liminal infrastructure can carry memory and identity, while an adaptable one admits that today’s use may not deserve permanence. Grand Park shows that a route built for vehicles can become a place for people.</w:t>
      </w:r>
    </w:p>
    <w:p>
      <w:pPr/>
      <w:r>
        <w:rPr>
          <w:b w:val="0"/>
          <w:i w:val="0"/>
        </w:rPr>
        <w:t>When an unfamiliar urban case appears in a round, follow the allocation. Which movement or storage use receives space? Which users can travel independently? What happens at the edges and crossings? Can the structure adapt when needs change? The strongest answer will not ask only where the sidewalk ends. It will explain the kind of public life that starts there.</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WHERE THE SIDEWALK STARTS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WHERE THE SIDEWALK STARTS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pompeii.co.uk/CDROM/STREETS/0.HTM" TargetMode="External"/><Relationship Id="rId13" Type="http://schemas.openxmlformats.org/officeDocument/2006/relationships/hyperlink" Target="https://seepompeii.com/en/the-characteristic-streets-of-ancient-pompeii/" TargetMode="External"/><Relationship Id="rId14" Type="http://schemas.openxmlformats.org/officeDocument/2006/relationships/hyperlink" Target="https://www.smithsonianmag.com/history/moving-sidewalks-before-the-jetsons-17484942/" TargetMode="External"/><Relationship Id="rId15" Type="http://schemas.openxmlformats.org/officeDocument/2006/relationships/hyperlink" Target="https://www.guinnessworldrecords.com/world-records/106892-first-moving-walkway" TargetMode="External"/><Relationship Id="rId16" Type="http://schemas.openxmlformats.org/officeDocument/2006/relationships/hyperlink" Target="https://www.npr.org/2023/05/09/1174962751/paved-paradise-examines-how-parking-has-changed-the-american-landscape" TargetMode="External"/><Relationship Id="rId17" Type="http://schemas.openxmlformats.org/officeDocument/2006/relationships/hyperlink" Target="https://www.capradio.org/news/npr/story?storyid=1174962751" TargetMode="External"/><Relationship Id="rId18" Type="http://schemas.openxmlformats.org/officeDocument/2006/relationships/hyperlink" Target="http://hiddenarchitecture.net/temple-street-parking-garage/" TargetMode="External"/><Relationship Id="rId19" Type="http://schemas.openxmlformats.org/officeDocument/2006/relationships/hyperlink" Target="https://www.dezeen.com/2019/12/23/lego-car-park-billund-denmark-cebra/" TargetMode="External"/><Relationship Id="rId20" Type="http://schemas.openxmlformats.org/officeDocument/2006/relationships/hyperlink" Target="https://en.visiterlyon.com/discover/heritage-unesco/contemporary/parking-des-celestins" TargetMode="External"/><Relationship Id="rId21" Type="http://schemas.openxmlformats.org/officeDocument/2006/relationships/hyperlink" Target="https://weburbanist.com/2011/01/01/detroits-michigan-theater-the-worlds-most-beautiful-parking-lot/" TargetMode="External"/><Relationship Id="rId22" Type="http://schemas.openxmlformats.org/officeDocument/2006/relationships/hyperlink" Target="https://www.ignant.com/2012/06/08/garagenatelier/" TargetMode="External"/><Relationship Id="rId23" Type="http://schemas.openxmlformats.org/officeDocument/2006/relationships/hyperlink" Target="https://www.fastcompany.com/90784597/today-its-a-multi-story-parking-lot-tomorrow-it-could-be-your-new-home" TargetMode="External"/><Relationship Id="rId24" Type="http://schemas.openxmlformats.org/officeDocument/2006/relationships/hyperlink" Target="https://www.jalopnik.com/this-is-a-snout-house-the-mid-size-crossover-of-homes-1850736863/" TargetMode="External"/><Relationship Id="rId25" Type="http://schemas.openxmlformats.org/officeDocument/2006/relationships/hyperlink" Target="https://www.gearpatrol.com/archive/a177905/automotive-architecture-frank-lloyd-wright/" TargetMode="External"/><Relationship Id="rId26" Type="http://schemas.openxmlformats.org/officeDocument/2006/relationships/hyperlink" Target="https://flwright.org/explore/frederick-c-robie-house" TargetMode="External"/><Relationship Id="rId27" Type="http://schemas.openxmlformats.org/officeDocument/2006/relationships/hyperlink" Target="https://landezine.com/grand-park-the-park-for-everyone-by-rios/" TargetMode="External"/><Relationship Id="rId28" Type="http://schemas.openxmlformats.org/officeDocument/2006/relationships/hyperlink" Target="https://www.rios.com/projects/grand-pa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Sidewalk Starts</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