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The End is Nearish</w:t>
      </w:r>
    </w:p>
    <w:p>
      <w:pPr>
        <w:pStyle w:val="WSCSubtitle"/>
        <w:pBdr>
          <w:bottom w:val="single" w:sz="10" w:space="8" w:color="C89C44"/>
        </w:pBdr>
      </w:pPr>
      <w:r>
        <w:rPr>
          <w:b w:val="0"/>
          <w:i w:val="0"/>
        </w:rPr>
        <w:t>A guide to the unstable zone before political, imagined, artistic, ecological, and civilizational endings</w:t>
      </w:r>
    </w:p>
    <w:p>
      <w:pPr>
        <w:pStyle w:val="Heading1"/>
        <w:pBdr>
          <w:bottom w:val="single" w:sz="9" w:space="5" w:color="C89C44"/>
        </w:pBdr>
      </w:pPr>
      <w:r>
        <w:rPr>
          <w:b w:val="0"/>
          <w:i w:val="0"/>
        </w:rPr>
        <w:t>Near enough to change behaviour</w:t>
      </w:r>
    </w:p>
    <w:p>
      <w:pPr/>
      <w:r>
        <w:rPr>
          <w:b w:val="0"/>
          <w:i w:val="0"/>
        </w:rPr>
        <w:t>An ending begins to matter before it arrives. A leader who still holds office can lose influence because everyone is looking toward the successor. A dated prophecy can reorganize a community before the date passes. An ecosystem can show unstable warning signals before it shifts into a different state. A painting or song can make an audience rehearse catastrophe without claiming that catastrophe will occur on Tuesday.</w:t>
      </w:r>
    </w:p>
    <w:p>
      <w:pPr/>
      <w:r>
        <w:rPr>
          <w:b w:val="0"/>
          <w:i w:val="0"/>
        </w:rPr>
        <w:t>The word "nearish" protects an important uncertainty. Nearness can be scheduled, symbolized, predicted, measured, imagined, sold, or manipulated. These are not equal forms of evidence. The final day of a constitutional term is a rule. The Doomsday Clock is an expert-created metaphor. A climate tipping point is a scientific threshold with uncertainty around its timing and behaviour. A doomsday influencer's date may be invented. Strong answers keep the categories separate before comparing what they do to people.</w:t>
      </w:r>
    </w:p>
    <w:p>
      <w:pPr/>
      <w:r>
        <w:rPr>
          <w:b w:val="0"/>
          <w:i w:val="0"/>
        </w:rPr>
        <w:t>The official links carry most of this section's detail. They include a parliamentary explanation of caretaker convention, histories of failed prophecy, museum pages for individual artworks, performances whose meaning lives in sound, ecological research, 2025 climate reporting, and an investigation of investors betting on solar geoengineering. None is an optional side trip. Together they show how humans act in the interval where an old order is fading and the next one remains unsettled.</w:t>
      </w:r>
    </w:p>
    <w:p>
      <w:pPr>
        <w:pStyle w:val="Heading1"/>
        <w:pageBreakBefore/>
        <w:pBdr>
          <w:bottom w:val="single" w:sz="9" w:space="5" w:color="C89C44"/>
        </w:pBdr>
      </w:pPr>
      <w:r>
        <w:rPr>
          <w:b w:val="0"/>
          <w:i w:val="0"/>
        </w:rPr>
        <w:t>Chapter 1 - Political endings before power is gone</w:t>
      </w:r>
    </w:p>
    <w:p>
      <w:pPr/>
      <w:r>
        <w:rPr>
          <w:b w:val="0"/>
          <w:i w:val="0"/>
        </w:rPr>
        <w:t>Political office has a legal endpoint, but authority rarely switches at one instant. During an election, transition, final term, illness, or succession crisis, formal power and expected future power pull apart. The present leader can still sign documents while officials, allies, rivals, and markets begin orienting themselves toward what comes next.</w:t>
      </w:r>
    </w:p>
    <w:p>
      <w:pPr>
        <w:pStyle w:val="Heading2"/>
      </w:pPr>
      <w:r>
        <w:rPr>
          <w:b w:val="0"/>
          <w:i w:val="0"/>
        </w:rPr>
        <w:t>The caretaker principle</w:t>
      </w:r>
    </w:p>
    <w:p>
      <w:pPr/>
      <w:r>
        <w:rPr>
          <w:b w:val="0"/>
          <w:i w:val="0"/>
        </w:rPr>
        <w:t xml:space="preserve">A caretaker government keeps ordinary administration functioning during an election or transition while limiting decisions that would bind the incoming government. The </w:t>
      </w:r>
      <w:hyperlink r:id="rId12">
        <w:r>
          <w:rPr>
            <w:rStyle w:val="WSCLink"/>
            <w:rFonts w:ascii="Georgia" w:hAnsi="Georgia" w:eastAsia="Georgia" w:cs="Georgia"/>
            <w:color w:val="825F1F"/>
            <w:u w:val="single"/>
          </w:rPr>
          <w:t>L022 - Australian Parliamentary Education Office explanation</w:t>
        </w:r>
      </w:hyperlink>
      <w:r>
        <w:rPr>
          <w:b w:val="0"/>
          <w:i w:val="0"/>
        </w:rPr>
        <w:t xml:space="preserve"> makes the convention concrete. The prime minister and ministers remain in position after Parliament closes for a federal election. They manage day-to-day government, but should consult the opposition before major decisions. The period ends when the election result is clear and ministers are commissioned or recommissioned.</w:t>
      </w:r>
    </w:p>
    <w:p>
      <w:pPr/>
      <w:r>
        <w:rPr>
          <w:b w:val="0"/>
          <w:i w:val="0"/>
        </w:rPr>
        <w:t>The arrangement balances continuity with restraint. A state cannot stop paying workers, responding to emergencies, or operating essential services because an election is underway. Yet an outgoing government should not exploit the interval to make major appointments, contracts, or policy changes that voters may be about to reject. In systems like Australia's, these limits are conventions supported by political accountability rather than a second cabinet of neutral outsiders.</w:t>
      </w:r>
    </w:p>
    <w:p>
      <w:pPr/>
      <w:r>
        <w:rPr>
          <w:b w:val="0"/>
          <w:i w:val="0"/>
        </w:rPr>
        <w:t>Real events test the boundary. A natural disaster may require urgent spending and a long contract during the campaign. A security threat may make consultation difficult. The caretaker principle does not demand paralysis; it demands necessity, proportionality, documentation, and, where possible, consultation. Decisions that cannot wait should be narrow enough to address the emergency without smuggling in an unrelated political programme.</w:t>
      </w:r>
    </w:p>
    <w:p>
      <w:pPr/>
      <w:r>
        <w:rPr>
          <w:b w:val="0"/>
          <w:i w:val="0"/>
        </w:rPr>
        <w:t>Bangladesh's history uses "caretaker government" differently. A 1996 constitutional amendment created a non-party caretaker administration to supervise the election period after distrust between major parties. The system later became a constitutional and political battleground and was abolished through the Fifteenth Amendment after a 2011 court ruling. On 20 November 2025, the Supreme Court unanimously revived the relevant constitutional chapter prospectively. The Court's full judgment, uploaded in 2026, makes the legal qualification important: restoration did not rewrite past elections, and operation remained subject to the revived constitutional provisions.</w:t>
      </w:r>
    </w:p>
    <w:p>
      <w:pPr/>
      <w:r>
        <w:rPr>
          <w:b w:val="0"/>
          <w:i w:val="0"/>
        </w:rPr>
        <w:t>This is not evidence that every country needs the same institution. A neutral transition can strengthen confidence when incumbents control election machinery. It can also generate conflict over who counts as neutral, how advisers are chosen, how long the interval lasts, and what happens during an emergency. The safest design defines entry, powers, oversight, and an automatic exit. A temporary government without a trusted endpoint can become the very danger it was meant to prevent.</w:t>
      </w:r>
    </w:p>
    <w:p>
      <w:pPr/>
      <w:r>
        <w:rPr>
          <w:b w:val="0"/>
          <w:i w:val="0"/>
        </w:rPr>
        <w:t>An exit rule needs an enforcement path. If an election result is disputed, who certifies it, what court hears the challenge, and which authority can prevent the temporary cabinet from extending itself? International examples often called "transitional" or "caretaker" governments differ so much that apparent cases of refusing to leave require care. A military junta promising later elections is not automatically the same institution as a ministry restrained by parliamentary convention. Compare powers and appointment rules before comparing labels.</w:t>
      </w:r>
    </w:p>
    <w:p>
      <w:pPr>
        <w:pStyle w:val="Heading2"/>
      </w:pPr>
      <w:r>
        <w:rPr>
          <w:b w:val="0"/>
          <w:i w:val="0"/>
        </w:rPr>
        <w:t>The lame duck still has wings</w:t>
      </w:r>
    </w:p>
    <w:p>
      <w:pPr/>
      <w:r>
        <w:rPr>
          <w:b w:val="0"/>
          <w:i w:val="0"/>
        </w:rPr>
        <w:t>In the United States, the Twenty-second Amendment generally limits a person to election as president twice. A second-term president cannot offer allies future access through another campaign in the same way and is often called a lame duck. The phrase also applies more broadly to an official whose successor has been chosen or whose departure is known.</w:t>
      </w:r>
    </w:p>
    <w:p>
      <w:pPr/>
      <w:r>
        <w:rPr>
          <w:b w:val="0"/>
          <w:i w:val="0"/>
        </w:rPr>
        <w:t>A lame duck is not powerless. The president retains constitutional authority until the term ends and may issue executive actions, negotiate, appoint where permitted, veto legislation, or respond to crisis. What weakens is leverage over the future. Legislators may wait for the next administration. Staff seek new positions. Foreign leaders calculate whether an agreement will survive. News attention shifts to candidates.</w:t>
      </w:r>
    </w:p>
    <w:p>
      <w:pPr/>
      <w:r>
        <w:rPr>
          <w:b w:val="0"/>
          <w:i w:val="0"/>
        </w:rPr>
        <w:t>Removing term limits could reduce this predictable decline, but it would create a larger risk: an incumbent can use office, visibility, patronage, and institutional control to remain indefinitely. Term limits trade some end-of-term influence for rotation and protection against personal rule. Other reforms can shorten the formal transition, restrict last-minute appointments, or require legislative consent without allowing endless tenure.</w:t>
      </w:r>
    </w:p>
    <w:p>
      <w:pPr>
        <w:pStyle w:val="Heading2"/>
      </w:pPr>
      <w:r>
        <w:rPr>
          <w:b w:val="0"/>
          <w:i w:val="0"/>
        </w:rPr>
        <w:t>Elizabeth I and the power of an unnamed future</w:t>
      </w:r>
    </w:p>
    <w:p>
      <w:pPr/>
      <w:r>
        <w:rPr>
          <w:b w:val="0"/>
          <w:i w:val="0"/>
        </w:rPr>
        <w:t>Elizabeth I of England never married and had no child. Naming a successor could reassure a kingdom worried about religion, foreign influence, and civil conflict. It could also create a rival centre of loyalty. A recognized heir could attract dissatisfied courtiers and make the queen appear like an obstacle between the present and a preferred future.</w:t>
      </w:r>
    </w:p>
    <w:p>
      <w:pPr/>
      <w:r>
        <w:rPr>
          <w:b w:val="0"/>
          <w:i w:val="0"/>
        </w:rPr>
        <w:t>James VI of Scotland had a strong hereditary claim and maintained contacts with English figures. When Elizabeth died in 1603, councillors proclaimed him James I of England. The transition was smoother than many had feared, but that outcome does not prove that uncertainty was harmless. Rival claims, secrecy, and elite negotiation placed stability in the hands of a narrow group.</w:t>
      </w:r>
    </w:p>
    <w:p>
      <w:pPr/>
      <w:r>
        <w:rPr>
          <w:b w:val="0"/>
          <w:i w:val="0"/>
        </w:rPr>
        <w:t>Systems can avoid a visible heir through secret ballots held only after an office becomes vacant, as in some organizational elections. Yet rules and candidate pools still shape expectations. Complete uncertainty protects the current leader at the cost of preparation. Announced succession supports planning but can divide loyalty. Political design cannot remove the near-end zone; it can make the rules governing it more legitimate and visible.</w:t>
      </w:r>
    </w:p>
    <w:p>
      <w:pPr/>
      <w:r>
        <w:rPr>
          <w:b w:val="0"/>
          <w:i w:val="0"/>
        </w:rPr>
        <w:t>The transfer case reaches beyond heads of state. A founder who refuses to develop a successor can remain indispensable while weakening the organization. A school captain named too early may be treated as the real leader before the current term ends. Healthy succession separates preparation from premature authority: future leaders can learn, records can be preserved, and responsibilities can be mapped without giving the successor an unofficial veto over the present.</w:t>
      </w:r>
    </w:p>
    <w:p>
      <w:pPr>
        <w:pStyle w:val="WSCSourceNote"/>
        <w:shd w:fill="F7EACC" w:val="clear"/>
        <w:pBdr>
          <w:left w:val="single" w:sz="14" w:space="6" w:color="C89C44"/>
        </w:pBdr>
      </w:pPr>
      <w:r>
        <w:rPr>
          <w:b/>
          <w:i w:val="0"/>
        </w:rPr>
        <w:t>Sources for this chapter:</w:t>
      </w:r>
      <w:r>
        <w:rPr>
          <w:b w:val="0"/>
          <w:i w:val="0"/>
        </w:rPr>
        <w:t xml:space="preserve"> The direct WSC source is </w:t>
      </w:r>
      <w:hyperlink r:id="rId12">
        <w:r>
          <w:rPr>
            <w:rStyle w:val="WSCLink"/>
            <w:rFonts w:ascii="Georgia" w:hAnsi="Georgia" w:eastAsia="Georgia" w:cs="Georgia"/>
            <w:color w:val="825F1F"/>
            <w:u w:val="single"/>
          </w:rPr>
          <w:t>L022 - Australia's Parliamentary Education Office on caretaker convention</w:t>
        </w:r>
      </w:hyperlink>
      <w:r>
        <w:rPr>
          <w:b w:val="0"/>
          <w:i w:val="0"/>
        </w:rPr>
        <w:t xml:space="preserve">. For the dated curriculum update, use the </w:t>
      </w:r>
      <w:hyperlink r:id="rId13">
        <w:r>
          <w:rPr>
            <w:rStyle w:val="WSCLink"/>
            <w:rFonts w:ascii="Georgia" w:hAnsi="Georgia" w:eastAsia="Georgia" w:cs="Georgia"/>
            <w:color w:val="825F1F"/>
            <w:u w:val="single"/>
          </w:rPr>
          <w:t>Supreme Court of Bangladesh judgment in Civil Appeal 112 of 2025</w:t>
        </w:r>
      </w:hyperlink>
      <w:r>
        <w:rPr>
          <w:b w:val="0"/>
          <w:i w:val="0"/>
        </w:rPr>
        <w:t>, whose short order is dated 20 November 2025. Distinguish Australia's incumbent-ministry convention from Bangladesh's constitutional non-party model.</w:t>
      </w:r>
    </w:p>
    <w:p>
      <w:pPr>
        <w:pStyle w:val="Heading1"/>
        <w:pageBreakBefore/>
        <w:pBdr>
          <w:bottom w:val="single" w:sz="9" w:space="5" w:color="C89C44"/>
        </w:pBdr>
      </w:pPr>
      <w:r>
        <w:rPr>
          <w:b w:val="0"/>
          <w:i w:val="0"/>
        </w:rPr>
        <w:t>Chapter 2 - Scheduled apocalypse and rescheduled fear</w:t>
      </w:r>
    </w:p>
    <w:p>
      <w:pPr/>
      <w:r>
        <w:rPr>
          <w:b w:val="0"/>
          <w:i w:val="0"/>
        </w:rPr>
        <w:t>A date gives fear a route. Before it, believers can prepare, recruit, sell possessions, calculate signs, or wait. After it passes, the community faces a second crisis: abandon the belief, reinterpret what happened, or choose a new date. The history of doomsday prediction is therefore a history of both persuasion and repair.</w:t>
      </w:r>
    </w:p>
    <w:p>
      <w:pPr>
        <w:pStyle w:val="Heading2"/>
      </w:pPr>
      <w:r>
        <w:rPr>
          <w:b w:val="0"/>
          <w:i w:val="0"/>
        </w:rPr>
        <w:t>The Clock is a warning, not a forecast</w:t>
      </w:r>
    </w:p>
    <w:p>
      <w:pPr/>
      <w:r>
        <w:rPr>
          <w:b w:val="0"/>
          <w:i w:val="0"/>
        </w:rPr>
        <w:t xml:space="preserve">The Bulletin of the Atomic Scientists created the Doomsday Clock in 1947, two years after atomic bombs destroyed Hiroshima and Nagasaki. The image of midnight compresses human-made catastrophic risks into one public symbol. The curriculum's </w:t>
      </w:r>
      <w:hyperlink r:id="rId14">
        <w:r>
          <w:rPr>
            <w:rStyle w:val="WSCLink"/>
            <w:rFonts w:ascii="Georgia" w:hAnsi="Georgia" w:eastAsia="Georgia" w:cs="Georgia"/>
            <w:color w:val="825F1F"/>
            <w:u w:val="single"/>
          </w:rPr>
          <w:t>L023 - 2016 explanation of the Doomsday Clock</w:t>
        </w:r>
      </w:hyperlink>
      <w:r>
        <w:rPr>
          <w:b w:val="0"/>
          <w:i w:val="0"/>
        </w:rPr>
        <w:t xml:space="preserve"> captures an earlier setting and history, but it is not current.</w:t>
      </w:r>
    </w:p>
    <w:p>
      <w:pPr/>
      <w:r>
        <w:rPr>
          <w:b w:val="0"/>
          <w:i w:val="0"/>
        </w:rPr>
        <w:t>On 27 January 2026, the Bulletin set the Clock at 85 seconds to midnight, its closest setting so far. The board cited nuclear danger, climate change, biological threats, disruptive technologies, and failures of international cooperation. The exact number should not be read as an actuarial probability or countdown. Experts deliberate and choose a communicative setting. Eighty-five seconds does not mean civilization has a calculable eighty-five seconds left or a specific percentage chance of ending.</w:t>
      </w:r>
    </w:p>
    <w:p>
      <w:pPr/>
      <w:r>
        <w:rPr>
          <w:b w:val="0"/>
          <w:i w:val="0"/>
        </w:rPr>
        <w:t>The metaphor's strength is attention. One clock can connect risks that otherwise live in separate technical reports. Its weakness is false precision and alarm fatigue. If the hand stays very close to midnight for years, audiences may become numb. The best use is to open the board's stated reasoning, compare risk categories, and ask which actions could move the hand away.</w:t>
      </w:r>
    </w:p>
    <w:p>
      <w:pPr>
        <w:pStyle w:val="Heading2"/>
      </w:pPr>
      <w:r>
        <w:rPr>
          <w:b w:val="0"/>
          <w:i w:val="0"/>
        </w:rPr>
        <w:t>London, 1666: when many disasters become one sign</w:t>
      </w:r>
    </w:p>
    <w:p>
      <w:pPr/>
      <w:r>
        <w:rPr>
          <w:b w:val="0"/>
          <w:i w:val="0"/>
        </w:rPr>
        <w:t xml:space="preserve">The </w:t>
      </w:r>
      <w:hyperlink r:id="rId15">
        <w:r>
          <w:rPr>
            <w:rStyle w:val="WSCLink"/>
            <w:rFonts w:ascii="Georgia" w:hAnsi="Georgia" w:eastAsia="Georgia" w:cs="Georgia"/>
            <w:color w:val="825F1F"/>
            <w:u w:val="single"/>
          </w:rPr>
          <w:t>L024 - Wellcome Collection story about 1666</w:t>
        </w:r>
      </w:hyperlink>
      <w:r>
        <w:rPr>
          <w:b w:val="0"/>
          <w:i w:val="0"/>
        </w:rPr>
        <w:t xml:space="preserve"> places apocalyptic fear amid plague, religious conflict, and the Great Fire of London. The number 1666 seemed to contain the biblical 666. Disease and fire supplied visible evidence that ordinary order had broken. People did not need social media to combine uncertainty, symbolic numbers, and dramatic events into a final story.</w:t>
      </w:r>
    </w:p>
    <w:p>
      <w:pPr/>
      <w:r>
        <w:rPr>
          <w:b w:val="0"/>
          <w:i w:val="0"/>
        </w:rPr>
        <w:t xml:space="preserve">The curriculum's </w:t>
      </w:r>
      <w:hyperlink r:id="rId16">
        <w:r>
          <w:rPr>
            <w:rStyle w:val="WSCLink"/>
            <w:rFonts w:ascii="Georgia" w:hAnsi="Georgia" w:eastAsia="Georgia" w:cs="Georgia"/>
            <w:color w:val="825F1F"/>
            <w:u w:val="single"/>
          </w:rPr>
          <w:t>L025 - long list of predicted apocalyptic dates</w:t>
        </w:r>
      </w:hyperlink>
      <w:r>
        <w:rPr>
          <w:b w:val="0"/>
          <w:i w:val="0"/>
        </w:rPr>
        <w:t xml:space="preserve">, </w:t>
      </w:r>
      <w:hyperlink r:id="rId17">
        <w:r>
          <w:rPr>
            <w:rStyle w:val="WSCLink"/>
            <w:rFonts w:ascii="Georgia" w:hAnsi="Georgia" w:eastAsia="Georgia" w:cs="Georgia"/>
            <w:color w:val="825F1F"/>
            <w:u w:val="single"/>
          </w:rPr>
          <w:t>L026 - Britannica's ten failed predictions</w:t>
        </w:r>
      </w:hyperlink>
      <w:r>
        <w:rPr>
          <w:b w:val="0"/>
          <w:i w:val="0"/>
        </w:rPr>
        <w:t xml:space="preserve">, and </w:t>
      </w:r>
      <w:hyperlink r:id="rId18">
        <w:r>
          <w:rPr>
            <w:rStyle w:val="WSCLink"/>
            <w:rFonts w:ascii="Georgia" w:hAnsi="Georgia" w:eastAsia="Georgia" w:cs="Georgia"/>
            <w:color w:val="825F1F"/>
            <w:u w:val="single"/>
          </w:rPr>
          <w:t>L027 - Smithsonian's historical survey</w:t>
        </w:r>
      </w:hyperlink>
      <w:r>
        <w:rPr>
          <w:b w:val="0"/>
          <w:i w:val="0"/>
        </w:rPr>
        <w:t xml:space="preserve"> reveal repeated ingredients: sacred texts treated as codes, unusual celestial events, charismatic interpreters, new technology, and a crisis already making the present feel unstable. The </w:t>
      </w:r>
      <w:hyperlink r:id="rId19">
        <w:r>
          <w:rPr>
            <w:rStyle w:val="WSCLink"/>
            <w:rFonts w:ascii="Georgia" w:hAnsi="Georgia" w:eastAsia="Georgia" w:cs="Georgia"/>
            <w:color w:val="825F1F"/>
            <w:u w:val="single"/>
          </w:rPr>
          <w:t>L028 - Simpsons street-corner "The End Is Near" clip</w:t>
        </w:r>
      </w:hyperlink>
      <w:r>
        <w:rPr>
          <w:b w:val="0"/>
          <w:i w:val="0"/>
        </w:rPr>
        <w:t xml:space="preserve"> shows how familiar the sign-holder has become as a comic type. Comedy works because the prediction is recognizable before its argument is known.</w:t>
      </w:r>
    </w:p>
    <w:p>
      <w:pPr>
        <w:pStyle w:val="Heading2"/>
      </w:pPr>
      <w:r>
        <w:rPr>
          <w:b w:val="0"/>
          <w:i w:val="0"/>
        </w:rPr>
        <w:t>Eight approaches to imminent doom</w:t>
      </w:r>
    </w:p>
    <w:p>
      <w:pPr/>
      <w:r>
        <w:rPr>
          <w:b w:val="0"/>
          <w:i w:val="0"/>
        </w:rPr>
        <w:t>William Miller's interpretation of biblical chronology inspired the Millerites in the United States. Followers expected Christ's return in the 1840s, with 22 October 1844 becoming the most famous date. Its failure became the Great Disappointment. Some abandoned the movement; others reinterpreted the event as an unseen heavenly transition. A failed observable claim did not produce one uniform response.</w:t>
      </w:r>
    </w:p>
    <w:p>
      <w:pPr/>
      <w:r>
        <w:rPr>
          <w:b w:val="0"/>
          <w:i w:val="0"/>
        </w:rPr>
        <w:t>Wodziwob, a Northern Paiute prophet active around 1869, offered visions of renewal in a colonial world devastated by violence, dispossession, and disease. His movement is an important warning against flattening every prophecy into a silly "end of the world" date. For oppressed communities, restoration visions could express survival, the return of the dead, and the end of an unjust order rather than simple planetary destruction.</w:t>
      </w:r>
    </w:p>
    <w:p>
      <w:pPr/>
      <w:r>
        <w:rPr>
          <w:b w:val="0"/>
          <w:i w:val="0"/>
        </w:rPr>
        <w:t>In 1910, Earth passed through the tail of Halley's Comet. Spectroscopic detection of cyanogen gas helped newspapers and entrepreneurs turn the passage into a poison scare, although astronomers explained that the gas was extremely diffuse. People bought supposed comet protections. A real scientific finding became alarming when scale and dose disappeared.</w:t>
      </w:r>
    </w:p>
    <w:p>
      <w:pPr/>
      <w:r>
        <w:rPr>
          <w:b w:val="0"/>
          <w:i/>
        </w:rPr>
        <w:t>The Jupiter Effect</w:t>
      </w:r>
      <w:r>
        <w:rPr>
          <w:b w:val="0"/>
          <w:i w:val="0"/>
        </w:rPr>
        <w:t>, published in 1974, argued that a 1982 alignment of planets could trigger effects leading to a major California earthquake. The forecast exaggerated the physical influence and did not occur as presented. It borrowed scientific language and a distant date, allowing anticipation to build around a weak mechanism.</w:t>
      </w:r>
    </w:p>
    <w:p>
      <w:pPr/>
      <w:r>
        <w:rPr>
          <w:b w:val="0"/>
          <w:i w:val="0"/>
        </w:rPr>
        <w:t>The curriculum labels Hon-Ming Chen as 1988, but the best-known failed predictions of Chen's group, Chen Tao, concerned 1998, when followers expected God to appear on television and later arrive in Garland, Texas. The date in the official list is almost certainly a typo. Scholars should preserve the curriculum connection while correcting the year in explanation.</w:t>
      </w:r>
    </w:p>
    <w:p>
      <w:pPr/>
      <w:r>
        <w:rPr>
          <w:b w:val="0"/>
          <w:i w:val="0"/>
        </w:rPr>
        <w:t>Y2K was different from a wholly imaginary apocalypse. Many computer systems stored years with two digits, creating a genuine risk that 2000 would be treated like 1900. Governments and firms spent heavily finding and repairing vulnerable systems. When catastrophe did not occur, some claimed the warning had been false. In fact, prevention contributed to the quiet outcome. A failed prediction and a successfully mitigated risk can look identical after the deadline unless the intervention is examined.</w:t>
      </w:r>
    </w:p>
    <w:p>
      <w:pPr/>
      <w:r>
        <w:rPr>
          <w:b w:val="0"/>
          <w:i w:val="0"/>
        </w:rPr>
        <w:t>Fears that the Large Hadron Collider would create dangerous black holes accompanied its 2008 startup. Physicists explained that any microscopic black holes, if possible, would decay and that cosmic rays had produced higher-energy collisions naturally without destroying Earth. The Mayan "apocalypse" of 2012 similarly transformed the end of a cycle in the Maya Long Count calendar into a global destruction story that Maya scholars and communities did not support.</w:t>
      </w:r>
    </w:p>
    <w:p>
      <w:pPr/>
      <w:r>
        <w:rPr>
          <w:b w:val="0"/>
          <w:i w:val="0"/>
        </w:rPr>
        <w:t>Across these cases, virality comes from compression. A date, image, villain, and survival instruction travel faster than a probability distribution. When the date fails, believers can say the calculation was wrong, the event happened spiritually, prayer prevented it, or the warning itself caused preparation. The scholar's defence is not mockery. It is to ask what claim was made in advance, what evidence would count against it, and whether later explanations change the rules after the result is known.</w:t>
      </w:r>
    </w:p>
    <w:p>
      <w:pPr>
        <w:pStyle w:val="Heading2"/>
      </w:pPr>
      <w:r>
        <w:rPr>
          <w:b w:val="0"/>
          <w:i w:val="0"/>
        </w:rPr>
        <w:t>Why a failed date can strengthen a group</w:t>
      </w:r>
    </w:p>
    <w:p>
      <w:pPr/>
      <w:r>
        <w:rPr>
          <w:b w:val="0"/>
          <w:i w:val="0"/>
        </w:rPr>
        <w:t>Failure creates cognitive and social pressure. A believer may have given away property, broken relationships, moved location, or publicly defended the date. Abandoning the prediction then means accepting not only an intellectual error but a damaged identity. If close companions share the commitment, a revised explanation can preserve both community and self-respect. The prediction may shift from a visible physical event to an invisible spiritual one, or the date may be recalculated from a newly discovered clue.</w:t>
      </w:r>
    </w:p>
    <w:p>
      <w:pPr/>
      <w:r>
        <w:rPr>
          <w:b w:val="0"/>
          <w:i w:val="0"/>
        </w:rPr>
        <w:t>Outsiders often imagine that ridicule will restore reason. Humiliation can instead make the group safer than the outside world. Better evaluation separates the person from the claim, records the original prediction, and asks in advance what outcome would count as disconfirmation. It also watches leaders' incentives. A leader who repeatedly demands money, isolation, secrecy, or obedience gains from keeping the end near even when every calendar date passes.</w:t>
      </w:r>
    </w:p>
    <w:p>
      <w:pPr/>
      <w:r>
        <w:rPr>
          <w:b w:val="0"/>
          <w:i w:val="0"/>
        </w:rPr>
        <w:t>Social media accelerates discovery and repetition but did not invent the mechanism. Algorithms can reward emotional certainty and place believers in contact across distance. Screenshots preserve a failed claim, while deleted posts and rapid new content can also bury it. A responsible reader checks timestamps, distinguishes an original source from thousands of copies, and notices whether the most dramatic version was added by later accounts.</w:t>
      </w:r>
    </w:p>
    <w:p>
      <w:pPr>
        <w:pStyle w:val="WSCSourceNote"/>
        <w:shd w:fill="F7EACC" w:val="clear"/>
        <w:pBdr>
          <w:left w:val="single" w:sz="14" w:space="6" w:color="C89C44"/>
        </w:pBdr>
      </w:pPr>
      <w:r>
        <w:rPr>
          <w:b/>
          <w:i w:val="0"/>
        </w:rPr>
        <w:t>Sources for this chapter:</w:t>
      </w:r>
      <w:r>
        <w:rPr>
          <w:b w:val="0"/>
          <w:i w:val="0"/>
        </w:rPr>
        <w:t xml:space="preserve"> Begin with </w:t>
      </w:r>
      <w:hyperlink r:id="rId14">
        <w:r>
          <w:rPr>
            <w:rStyle w:val="WSCLink"/>
            <w:rFonts w:ascii="Georgia" w:hAnsi="Georgia" w:eastAsia="Georgia" w:cs="Georgia"/>
            <w:color w:val="825F1F"/>
            <w:u w:val="single"/>
          </w:rPr>
          <w:t>L023</w:t>
        </w:r>
      </w:hyperlink>
      <w:r>
        <w:rPr>
          <w:b w:val="0"/>
          <w:i w:val="0"/>
        </w:rPr>
        <w:t xml:space="preserve">, then update it with the Bulletin's </w:t>
      </w:r>
      <w:hyperlink r:id="rId20">
        <w:r>
          <w:rPr>
            <w:rStyle w:val="WSCLink"/>
            <w:rFonts w:ascii="Georgia" w:hAnsi="Georgia" w:eastAsia="Georgia" w:cs="Georgia"/>
            <w:color w:val="825F1F"/>
            <w:u w:val="single"/>
          </w:rPr>
          <w:t>official 2026 statement setting 85 seconds to midnight</w:t>
        </w:r>
      </w:hyperlink>
      <w:r>
        <w:rPr>
          <w:b w:val="0"/>
          <w:i w:val="0"/>
        </w:rPr>
        <w:t xml:space="preserve">. The prediction trail is </w:t>
      </w:r>
      <w:hyperlink r:id="rId15">
        <w:r>
          <w:rPr>
            <w:rStyle w:val="WSCLink"/>
            <w:rFonts w:ascii="Georgia" w:hAnsi="Georgia" w:eastAsia="Georgia" w:cs="Georgia"/>
            <w:color w:val="825F1F"/>
            <w:u w:val="single"/>
          </w:rPr>
          <w:t>L024</w:t>
        </w:r>
      </w:hyperlink>
      <w:r>
        <w:rPr>
          <w:b w:val="0"/>
          <w:i w:val="0"/>
        </w:rPr>
        <w:t xml:space="preserve">, </w:t>
      </w:r>
      <w:hyperlink r:id="rId16">
        <w:r>
          <w:rPr>
            <w:rStyle w:val="WSCLink"/>
            <w:rFonts w:ascii="Georgia" w:hAnsi="Georgia" w:eastAsia="Georgia" w:cs="Georgia"/>
            <w:color w:val="825F1F"/>
            <w:u w:val="single"/>
          </w:rPr>
          <w:t>L025</w:t>
        </w:r>
      </w:hyperlink>
      <w:r>
        <w:rPr>
          <w:b w:val="0"/>
          <w:i w:val="0"/>
        </w:rPr>
        <w:t xml:space="preserve">, </w:t>
      </w:r>
      <w:hyperlink r:id="rId17">
        <w:r>
          <w:rPr>
            <w:rStyle w:val="WSCLink"/>
            <w:rFonts w:ascii="Georgia" w:hAnsi="Georgia" w:eastAsia="Georgia" w:cs="Georgia"/>
            <w:color w:val="825F1F"/>
            <w:u w:val="single"/>
          </w:rPr>
          <w:t>L026</w:t>
        </w:r>
      </w:hyperlink>
      <w:r>
        <w:rPr>
          <w:b w:val="0"/>
          <w:i w:val="0"/>
        </w:rPr>
        <w:t xml:space="preserve">, </w:t>
      </w:r>
      <w:hyperlink r:id="rId18">
        <w:r>
          <w:rPr>
            <w:rStyle w:val="WSCLink"/>
            <w:rFonts w:ascii="Georgia" w:hAnsi="Georgia" w:eastAsia="Georgia" w:cs="Georgia"/>
            <w:color w:val="825F1F"/>
            <w:u w:val="single"/>
          </w:rPr>
          <w:t>L027</w:t>
        </w:r>
      </w:hyperlink>
      <w:r>
        <w:rPr>
          <w:b w:val="0"/>
          <w:i w:val="0"/>
        </w:rPr>
        <w:t xml:space="preserve">, and the satirical </w:t>
      </w:r>
      <w:hyperlink r:id="rId19">
        <w:r>
          <w:rPr>
            <w:rStyle w:val="WSCLink"/>
            <w:rFonts w:ascii="Georgia" w:hAnsi="Georgia" w:eastAsia="Georgia" w:cs="Georgia"/>
            <w:color w:val="825F1F"/>
            <w:u w:val="single"/>
          </w:rPr>
          <w:t>L028</w:t>
        </w:r>
      </w:hyperlink>
      <w:r>
        <w:rPr>
          <w:b w:val="0"/>
          <w:i w:val="0"/>
        </w:rPr>
        <w:t xml:space="preserve">. Cross-check dates against Charles Houston Prather's </w:t>
      </w:r>
      <w:hyperlink r:id="rId21">
        <w:r>
          <w:rPr>
            <w:rStyle w:val="WSCLink"/>
            <w:rFonts w:ascii="Georgia" w:hAnsi="Georgia" w:eastAsia="Georgia" w:cs="Georgia"/>
            <w:color w:val="825F1F"/>
            <w:u w:val="single"/>
          </w:rPr>
          <w:t xml:space="preserve">1999 study of Chen Tao in the </w:t>
        </w:r>
      </w:hyperlink>
      <w:hyperlink r:id="rId21">
        <w:r>
          <w:rPr>
            <w:rStyle w:val="WSCLink"/>
            <w:rFonts w:ascii="Georgia" w:hAnsi="Georgia" w:eastAsia="Georgia" w:cs="Georgia"/>
            <w:color w:val="825F1F"/>
            <w:u w:val="single"/>
            <w:i/>
          </w:rPr>
          <w:t>Marburg Journal of Religion</w:t>
        </w:r>
      </w:hyperlink>
      <w:r>
        <w:rPr>
          <w:b w:val="0"/>
          <w:i w:val="0"/>
        </w:rPr>
        <w:t>: Hon-Ming Chen's famous failed event was in 1998, not 1988.</w:t>
      </w:r>
    </w:p>
    <w:p>
      <w:pPr>
        <w:pStyle w:val="Heading1"/>
        <w:pageBreakBefore/>
        <w:pBdr>
          <w:bottom w:val="single" w:sz="9" w:space="5" w:color="C89C44"/>
        </w:pBdr>
      </w:pPr>
      <w:r>
        <w:rPr>
          <w:b w:val="0"/>
          <w:i w:val="0"/>
        </w:rPr>
        <w:t>Chapter 3 - Scientific thresholds and the ethics of the last chance</w:t>
      </w:r>
    </w:p>
    <w:p>
      <w:pPr/>
      <w:r>
        <w:rPr>
          <w:b w:val="0"/>
          <w:i w:val="0"/>
        </w:rPr>
        <w:t>Science does not normally announce a single day on which a complex system ends. It identifies mechanisms, changing probabilities, warning signals, and thresholds beyond which recovery may become much harder. The climate branch replaces the prophet's sign with measurements, but uncertainty remains. The challenge is to act before every detail is settled without pretending that every alarming headline has equal evidence.</w:t>
      </w:r>
    </w:p>
    <w:p>
      <w:pPr>
        <w:pStyle w:val="Heading2"/>
      </w:pPr>
      <w:r>
        <w:rPr>
          <w:b w:val="0"/>
          <w:i w:val="0"/>
        </w:rPr>
        <w:t>Volatility before a regime shift</w:t>
      </w:r>
    </w:p>
    <w:p>
      <w:pPr/>
      <w:r>
        <w:rPr>
          <w:b w:val="0"/>
          <w:i w:val="0"/>
        </w:rPr>
        <w:t xml:space="preserve">The </w:t>
      </w:r>
      <w:hyperlink r:id="rId22">
        <w:r>
          <w:rPr>
            <w:rStyle w:val="WSCLink"/>
            <w:rFonts w:ascii="Georgia" w:hAnsi="Georgia" w:eastAsia="Georgia" w:cs="Georgia"/>
            <w:color w:val="825F1F"/>
            <w:u w:val="single"/>
          </w:rPr>
          <w:t>L044 - Cary Institute account of predicting ecological collapse</w:t>
        </w:r>
      </w:hyperlink>
      <w:r>
        <w:rPr>
          <w:b w:val="0"/>
          <w:i w:val="0"/>
        </w:rPr>
        <w:t xml:space="preserve"> describes research on a Wisconsin lake. Scientists deliberately altered the food web by introducing bass and watched the ecosystem move from one stable regime toward another. Before the shift, measures including chlorophyll became more variable. Increasing variance can be an early-warning signal that a system is losing resilience.</w:t>
      </w:r>
    </w:p>
    <w:p>
      <w:pPr/>
      <w:r>
        <w:rPr>
          <w:b w:val="0"/>
          <w:i w:val="0"/>
        </w:rPr>
        <w:t>The mechanism is often called critical slowing down. Near some thresholds, a system recovers more slowly from disturbance. Fluctuations persist and grow. This does not mean every volatile lake, market, mood, or climate variable is about to collapse. Noise can rise for many reasons, and not every system crosses a neat tipping point. Warning indicators become useful when supported by mechanism, repeated measurement, and several lines of evidence.</w:t>
      </w:r>
    </w:p>
    <w:p>
      <w:pPr>
        <w:pStyle w:val="Heading2"/>
      </w:pPr>
      <w:r>
        <w:rPr>
          <w:b w:val="0"/>
          <w:i w:val="0"/>
        </w:rPr>
        <w:t>A changing climate changes variability too</w:t>
      </w:r>
    </w:p>
    <w:p>
      <w:pPr/>
      <w:r>
        <w:rPr>
          <w:b w:val="0"/>
          <w:i w:val="0"/>
        </w:rPr>
        <w:t xml:space="preserve">The curriculum links a 2025 </w:t>
      </w:r>
      <w:r>
        <w:rPr>
          <w:b w:val="0"/>
          <w:i/>
        </w:rPr>
        <w:t>Nature Climate Change</w:t>
      </w:r>
      <w:r>
        <w:rPr>
          <w:b w:val="0"/>
          <w:i w:val="0"/>
        </w:rPr>
        <w:t xml:space="preserve"> study, </w:t>
      </w:r>
      <w:hyperlink r:id="rId23">
        <w:r>
          <w:rPr>
            <w:rStyle w:val="WSCLink"/>
            <w:rFonts w:ascii="Georgia" w:hAnsi="Georgia" w:eastAsia="Georgia" w:cs="Georgia"/>
            <w:color w:val="825F1F"/>
            <w:u w:val="single"/>
          </w:rPr>
          <w:t>L045 - research on extreme day-to-day temperature changes</w:t>
        </w:r>
      </w:hyperlink>
      <w:r>
        <w:rPr>
          <w:b w:val="0"/>
          <w:i w:val="0"/>
        </w:rPr>
        <w:t>. The study reports that extreme temperature swings have become more frequent in low and middle latitudes since the 1960s and projects further increases under warming across regions containing much of the global population. This is more specific than the broad claim that every kind of extreme weather is increasing everywhere.</w:t>
      </w:r>
    </w:p>
    <w:p>
      <w:pPr/>
      <w:r>
        <w:rPr>
          <w:b w:val="0"/>
          <w:i w:val="0"/>
        </w:rPr>
        <w:t xml:space="preserve">The </w:t>
      </w:r>
      <w:hyperlink r:id="rId24">
        <w:r>
          <w:rPr>
            <w:rStyle w:val="WSCLink"/>
            <w:rFonts w:ascii="Georgia" w:hAnsi="Georgia" w:eastAsia="Georgia" w:cs="Georgia"/>
            <w:color w:val="825F1F"/>
            <w:u w:val="single"/>
          </w:rPr>
          <w:t>L046 - BBC investigation of flight turbulence</w:t>
        </w:r>
      </w:hyperlink>
      <w:r>
        <w:rPr>
          <w:b w:val="0"/>
          <w:i w:val="0"/>
        </w:rPr>
        <w:t xml:space="preserve"> connects warming with changes in upper-atmosphere wind patterns and clear-air turbulence. Research projects increases in severe turbulence on important routes, while actual injury remains uncommon and depends heavily on whether passengers and crew are secured. The everyday transfer is powerful: climate change can alter a familiar journey even when the sky looks clear.</w:t>
      </w:r>
    </w:p>
    <w:p>
      <w:pPr/>
      <w:r>
        <w:rPr>
          <w:b w:val="0"/>
          <w:i w:val="0"/>
        </w:rPr>
        <w:t>Neither link should become evidence that one bumpy flight proves climate change or that every storm has one simple cause. Attribution compares how human-caused warming changes the likelihood or intensity of events. Climate is a distribution, not a single afternoon.</w:t>
      </w:r>
    </w:p>
    <w:p>
      <w:pPr>
        <w:pStyle w:val="Heading2"/>
      </w:pPr>
      <w:r>
        <w:rPr>
          <w:b w:val="0"/>
          <w:i w:val="0"/>
        </w:rPr>
        <w:t>"Point of no return" needs a named system</w:t>
      </w:r>
    </w:p>
    <w:p>
      <w:pPr/>
      <w:r>
        <w:rPr>
          <w:b w:val="0"/>
          <w:i w:val="0"/>
        </w:rPr>
        <w:t xml:space="preserve">The phrase suggests one global line after which all mitigation is useless. Earth systems are more complicated. Coral reefs, ice sheets, forests, ocean circulation, and local ecosystems have different thresholds, time scales, and degrees of reversibility. The </w:t>
      </w:r>
      <w:hyperlink r:id="rId25">
        <w:r>
          <w:rPr>
            <w:rStyle w:val="WSCLink"/>
            <w:rFonts w:ascii="Georgia" w:hAnsi="Georgia" w:eastAsia="Georgia" w:cs="Georgia"/>
            <w:color w:val="825F1F"/>
            <w:u w:val="single"/>
          </w:rPr>
          <w:t>L047 - October 2025 Ecologist report</w:t>
        </w:r>
      </w:hyperlink>
      <w:r>
        <w:rPr>
          <w:b w:val="0"/>
          <w:i w:val="0"/>
        </w:rPr>
        <w:t xml:space="preserve"> summarizes the warning in the </w:t>
      </w:r>
      <w:hyperlink r:id="rId26">
        <w:r>
          <w:rPr>
            <w:rStyle w:val="WSCLink"/>
            <w:rFonts w:ascii="Georgia" w:hAnsi="Georgia" w:eastAsia="Georgia" w:cs="Georgia"/>
            <w:color w:val="825F1F"/>
            <w:u w:val="single"/>
          </w:rPr>
          <w:t>Global Tipping Points Report 2025</w:t>
        </w:r>
      </w:hyperlink>
      <w:r>
        <w:rPr>
          <w:b w:val="0"/>
          <w:i w:val="0"/>
        </w:rPr>
        <w:t xml:space="preserve"> that warm-water coral reefs are crossing their thermal tipping point and experiencing unprecedented dieback. The report also stresses that protecting refuges and accelerating positive tipping points still matter.</w:t>
      </w:r>
    </w:p>
    <w:p>
      <w:pPr/>
      <w:r>
        <w:rPr>
          <w:b w:val="0"/>
          <w:i w:val="0"/>
        </w:rPr>
        <w:t>Crossing a threshold does not make all action pointless. Every additional fraction of warming affects the number, severity, and duration of harms. Mitigation can prevent other thresholds. Adaptation can protect people and ecosystems. Restoration may preserve pockets or enable future recovery. The claim "the battle is already lost" bundles many battles into one and can become an excuse for continued damage.</w:t>
      </w:r>
    </w:p>
    <w:p>
      <w:pPr/>
      <w:r>
        <w:rPr>
          <w:b w:val="0"/>
          <w:i w:val="0"/>
        </w:rPr>
        <w:t>Thresholds also differ in speed. An ice sheet may cross a condition that commits it to long-term loss while the full physical change unfolds over centuries. A coral reef can suffer mass bleaching within seasons. Political response needs both clocks: the moment when a process becomes hard to reverse and the later period in which consequences arrive. Slow consequences are not evidence that the threshold was imaginary.</w:t>
      </w:r>
    </w:p>
    <w:p>
      <w:pPr>
        <w:pStyle w:val="Heading2"/>
      </w:pPr>
      <w:r>
        <w:rPr>
          <w:b w:val="0"/>
          <w:i w:val="0"/>
        </w:rPr>
        <w:t>Preparation, profit, and moral hazard</w:t>
      </w:r>
    </w:p>
    <w:p>
      <w:pPr/>
      <w:r>
        <w:rPr>
          <w:b w:val="0"/>
          <w:i w:val="0"/>
        </w:rPr>
        <w:t>Climate risk creates legitimate markets. Societies need cooling, resilient crops, flood protection, insurance, forecasting, evacuation systems, and cleaner energy. Profit can fund innovation and scale. The ethical problem appears when a firm's returns improve as prevention fails, when vulnerable people bear experimentation risks, or when a proposed remedy allows polluters to postpone reducing emissions.</w:t>
      </w:r>
    </w:p>
    <w:p>
      <w:pPr/>
      <w:r>
        <w:rPr>
          <w:b w:val="0"/>
          <w:i w:val="0"/>
        </w:rPr>
        <w:t xml:space="preserve">The </w:t>
      </w:r>
      <w:hyperlink r:id="rId27">
        <w:r>
          <w:rPr>
            <w:rStyle w:val="WSCLink"/>
            <w:rFonts w:ascii="Georgia" w:hAnsi="Georgia" w:eastAsia="Georgia" w:cs="Georgia"/>
            <w:color w:val="825F1F"/>
            <w:u w:val="single"/>
          </w:rPr>
          <w:t>L048 - Politico investigation "Betting on climate failure"</w:t>
        </w:r>
      </w:hyperlink>
      <w:r>
        <w:rPr>
          <w:b w:val="0"/>
          <w:i w:val="0"/>
        </w:rPr>
        <w:t xml:space="preserve"> reports more than $100 million invested in risky technologies intended to cool the planet, including solar geoengineering approaches that would reflect some sunlight. An investor can sincerely prefer that such intervention never becomes necessary while also holding an asset that becomes far more valuable if warming and political failure make emergency deployment likely.</w:t>
      </w:r>
    </w:p>
    <w:p>
      <w:pPr/>
      <w:r>
        <w:rPr>
          <w:b w:val="0"/>
          <w:i w:val="0"/>
        </w:rPr>
        <w:t>This is moral hazard: protection from a harm, or the prospect of managing it, can weaken incentives to prevent it. Research is not the same as deployment, and ignorance also carries risk if governments reach for an emergency technology without preparation. The governance questions arrive early. Who authorizes experiments? Who monitors cross-border effects? Who compensates regions harmed by altered rainfall? Can one country deploy a global intervention? Who can stop it?</w:t>
      </w:r>
    </w:p>
    <w:p>
      <w:pPr>
        <w:pStyle w:val="Heading2"/>
      </w:pPr>
      <w:r>
        <w:rPr>
          <w:b w:val="0"/>
          <w:i w:val="0"/>
        </w:rPr>
        <w:t>Acting under uncertainty</w:t>
      </w:r>
    </w:p>
    <w:p>
      <w:pPr/>
      <w:r>
        <w:rPr>
          <w:b w:val="0"/>
          <w:i w:val="0"/>
        </w:rPr>
        <w:t>Scientific uncertainty is often misread in two opposite ways. Alarmism treats the worst plausible outcome as certain. Delay treats anything short of certainty as permission to wait. Risk management does neither. It weighs probability, severity, reversibility, distribution, and the cost of action.</w:t>
      </w:r>
    </w:p>
    <w:p>
      <w:pPr/>
      <w:r>
        <w:rPr>
          <w:b w:val="0"/>
          <w:i w:val="0"/>
        </w:rPr>
        <w:t>A fire alarm does not prove a building is burning, but its value depends on responding before flames reach every room. Climate warning signals similarly justify proportionate action while research continues. The ethical endpoint is not a fantasy of zero risk. It is a system that reduces danger without hiding who pays for the route.</w:t>
      </w:r>
    </w:p>
    <w:p>
      <w:pPr/>
      <w:r>
        <w:rPr>
          <w:b w:val="0"/>
          <w:i w:val="0"/>
        </w:rPr>
        <w:t>Precaution must remain accountable. An intervention can create its own ecological or social harm, especially when leaders use emergency language to bypass communities. Monitor outcomes, publish assumptions, build review dates, and prefer measures that can be adjusted when evidence changes. Acting early and remaining open to correction are partners, not opposites.</w:t>
      </w:r>
    </w:p>
    <w:p>
      <w:pPr>
        <w:pStyle w:val="WSCSourceNote"/>
        <w:shd w:fill="F7EACC" w:val="clear"/>
        <w:pBdr>
          <w:left w:val="single" w:sz="14" w:space="6" w:color="C89C44"/>
        </w:pBdr>
      </w:pPr>
      <w:r>
        <w:rPr>
          <w:b/>
          <w:i w:val="0"/>
        </w:rPr>
        <w:t>Sources for this chapter:</w:t>
      </w:r>
      <w:r>
        <w:rPr>
          <w:b w:val="0"/>
          <w:i w:val="0"/>
        </w:rPr>
        <w:t xml:space="preserve"> The evidence chain is </w:t>
      </w:r>
      <w:hyperlink r:id="rId22">
        <w:r>
          <w:rPr>
            <w:rStyle w:val="WSCLink"/>
            <w:rFonts w:ascii="Georgia" w:hAnsi="Georgia" w:eastAsia="Georgia" w:cs="Georgia"/>
            <w:color w:val="825F1F"/>
            <w:u w:val="single"/>
          </w:rPr>
          <w:t>L044 - lake regime-shift warning signals</w:t>
        </w:r>
      </w:hyperlink>
      <w:r>
        <w:rPr>
          <w:b w:val="0"/>
          <w:i w:val="0"/>
        </w:rPr>
        <w:t xml:space="preserve">, </w:t>
      </w:r>
      <w:hyperlink r:id="rId23">
        <w:r>
          <w:rPr>
            <w:rStyle w:val="WSCLink"/>
            <w:rFonts w:ascii="Georgia" w:hAnsi="Georgia" w:eastAsia="Georgia" w:cs="Georgia"/>
            <w:color w:val="825F1F"/>
            <w:u w:val="single"/>
          </w:rPr>
          <w:t>L045 - the 2025 temperature-variability study</w:t>
        </w:r>
      </w:hyperlink>
      <w:r>
        <w:rPr>
          <w:b w:val="0"/>
          <w:i w:val="0"/>
        </w:rPr>
        <w:t xml:space="preserve">, </w:t>
      </w:r>
      <w:hyperlink r:id="rId24">
        <w:r>
          <w:rPr>
            <w:rStyle w:val="WSCLink"/>
            <w:rFonts w:ascii="Georgia" w:hAnsi="Georgia" w:eastAsia="Georgia" w:cs="Georgia"/>
            <w:color w:val="825F1F"/>
            <w:u w:val="single"/>
          </w:rPr>
          <w:t>L046 - turbulence under a changing climate</w:t>
        </w:r>
      </w:hyperlink>
      <w:r>
        <w:rPr>
          <w:b w:val="0"/>
          <w:i w:val="0"/>
        </w:rPr>
        <w:t xml:space="preserve">, </w:t>
      </w:r>
      <w:hyperlink r:id="rId25">
        <w:r>
          <w:rPr>
            <w:rStyle w:val="WSCLink"/>
            <w:rFonts w:ascii="Georgia" w:hAnsi="Georgia" w:eastAsia="Georgia" w:cs="Georgia"/>
            <w:color w:val="825F1F"/>
            <w:u w:val="single"/>
          </w:rPr>
          <w:t>L047 - reporting on the 2025 tipping-point assessment</w:t>
        </w:r>
      </w:hyperlink>
      <w:r>
        <w:rPr>
          <w:b w:val="0"/>
          <w:i w:val="0"/>
        </w:rPr>
        <w:t xml:space="preserve">, the </w:t>
      </w:r>
      <w:hyperlink r:id="rId26">
        <w:r>
          <w:rPr>
            <w:rStyle w:val="WSCLink"/>
            <w:rFonts w:ascii="Georgia" w:hAnsi="Georgia" w:eastAsia="Georgia" w:cs="Georgia"/>
            <w:color w:val="825F1F"/>
            <w:u w:val="single"/>
          </w:rPr>
          <w:t>Global Tipping Points Report 2025 project</w:t>
        </w:r>
      </w:hyperlink>
      <w:r>
        <w:rPr>
          <w:b w:val="0"/>
          <w:i w:val="0"/>
        </w:rPr>
        <w:t xml:space="preserve">, and </w:t>
      </w:r>
      <w:hyperlink r:id="rId27">
        <w:r>
          <w:rPr>
            <w:rStyle w:val="WSCLink"/>
            <w:rFonts w:ascii="Georgia" w:hAnsi="Georgia" w:eastAsia="Georgia" w:cs="Georgia"/>
            <w:color w:val="825F1F"/>
            <w:u w:val="single"/>
          </w:rPr>
          <w:t>L048 - investment in solar geoengineering</w:t>
        </w:r>
      </w:hyperlink>
      <w:r>
        <w:rPr>
          <w:b w:val="0"/>
          <w:i w:val="0"/>
        </w:rPr>
        <w:t>. Preserve dates and distinguish primary research from reporting and advocacy.</w:t>
      </w:r>
    </w:p>
    <w:p>
      <w:pPr>
        <w:pStyle w:val="Heading1"/>
        <w:pageBreakBefore/>
        <w:pBdr>
          <w:bottom w:val="single" w:sz="9" w:space="5" w:color="C89C44"/>
        </w:pBdr>
      </w:pPr>
      <w:r>
        <w:rPr>
          <w:b w:val="0"/>
          <w:i w:val="0"/>
        </w:rPr>
        <w:t>Chapter 4 - Art lets people rehearse the end</w:t>
      </w:r>
    </w:p>
    <w:p>
      <w:pPr/>
      <w:r>
        <w:rPr>
          <w:b w:val="0"/>
          <w:i w:val="0"/>
        </w:rPr>
        <w:t>Apocalypse means revelation as well as destruction. The Book of Revelation unveils judgment, conflict, salvation, and a transformed order. Artists have used its figures to make invisible moral destinies visible, then adapted those figures to empire, mechanized war, fascism, nuclear fear, pandemic worlds, and digital games. The links are the lesson because composition, colour, scale, texture, rhythm, and sound carry arguments that a title alone cannot.</w:t>
      </w:r>
    </w:p>
    <w:p>
      <w:pPr>
        <w:pStyle w:val="Heading2"/>
      </w:pPr>
      <w:r>
        <w:rPr>
          <w:b w:val="0"/>
          <w:i w:val="0"/>
        </w:rPr>
        <w:t>Renaissance judgment: who rises and who falls</w:t>
      </w:r>
    </w:p>
    <w:p>
      <w:pPr/>
      <w:r>
        <w:rPr>
          <w:b w:val="0"/>
          <w:i w:val="0"/>
        </w:rPr>
        <w:t xml:space="preserve">The </w:t>
      </w:r>
      <w:hyperlink r:id="rId28">
        <w:r>
          <w:rPr>
            <w:rStyle w:val="WSCLink"/>
            <w:rFonts w:ascii="Georgia" w:hAnsi="Georgia" w:eastAsia="Georgia" w:cs="Georgia"/>
            <w:color w:val="825F1F"/>
            <w:u w:val="single"/>
          </w:rPr>
          <w:t>L029 - 2025 survey of apocalypse art</w:t>
        </w:r>
      </w:hyperlink>
      <w:r>
        <w:rPr>
          <w:b w:val="0"/>
          <w:i w:val="0"/>
        </w:rPr>
        <w:t xml:space="preserve"> places medieval and later works in a living political context. Albrecht Durer's 1498 woodcut </w:t>
      </w:r>
      <w:hyperlink r:id="rId29">
        <w:r>
          <w:rPr>
            <w:rStyle w:val="WSCLink"/>
            <w:rFonts w:ascii="Georgia" w:hAnsi="Georgia" w:eastAsia="Georgia" w:cs="Georgia"/>
            <w:color w:val="825F1F"/>
            <w:u w:val="single"/>
          </w:rPr>
          <w:t xml:space="preserve">L030 - </w:t>
        </w:r>
      </w:hyperlink>
      <w:hyperlink r:id="rId29">
        <w:r>
          <w:rPr>
            <w:rStyle w:val="WSCLink"/>
            <w:rFonts w:ascii="Georgia" w:hAnsi="Georgia" w:eastAsia="Georgia" w:cs="Georgia"/>
            <w:color w:val="825F1F"/>
            <w:u w:val="single"/>
            <w:i/>
          </w:rPr>
          <w:t>The Four Horsemen of the Apocalypse</w:t>
        </w:r>
      </w:hyperlink>
      <w:r>
        <w:rPr>
          <w:b w:val="0"/>
          <w:i w:val="0"/>
        </w:rPr>
        <w:t xml:space="preserve"> makes catastrophe surge diagonally across the page. Conquest, war, famine, and death do not wait politely for the viewer. The black-and-white cuts create speed, crowding, and violence reproducible across an influential print series.</w:t>
      </w:r>
    </w:p>
    <w:p>
      <w:pPr/>
      <w:r>
        <w:rPr>
          <w:b w:val="0"/>
          <w:i w:val="0"/>
        </w:rPr>
        <w:t xml:space="preserve">Sandro Botticelli's </w:t>
      </w:r>
      <w:hyperlink r:id="rId30">
        <w:r>
          <w:rPr>
            <w:rStyle w:val="WSCLink"/>
            <w:rFonts w:ascii="Georgia" w:hAnsi="Georgia" w:eastAsia="Georgia" w:cs="Georgia"/>
            <w:color w:val="825F1F"/>
            <w:u w:val="single"/>
          </w:rPr>
          <w:t xml:space="preserve">L031 - </w:t>
        </w:r>
      </w:hyperlink>
      <w:hyperlink r:id="rId30">
        <w:r>
          <w:rPr>
            <w:rStyle w:val="WSCLink"/>
            <w:rFonts w:ascii="Georgia" w:hAnsi="Georgia" w:eastAsia="Georgia" w:cs="Georgia"/>
            <w:color w:val="825F1F"/>
            <w:u w:val="single"/>
            <w:i/>
          </w:rPr>
          <w:t>Mystic Nativity</w:t>
        </w:r>
      </w:hyperlink>
      <w:r>
        <w:rPr>
          <w:b w:val="0"/>
          <w:i w:val="0"/>
        </w:rPr>
        <w:t xml:space="preserve"> (1500) combines Christ's birth with apocalyptic expectation. Angels circle above, men and angels embrace, and demons retreat into cracks. A Greek inscription refers to Italy's troubles. Here the end promises release and reconciliation as well as fear. The destination of the saved is visible in harmony.</w:t>
      </w:r>
    </w:p>
    <w:p>
      <w:pPr/>
      <w:r>
        <w:rPr>
          <w:b w:val="0"/>
          <w:i w:val="0"/>
        </w:rPr>
        <w:t xml:space="preserve">Michelangelo's </w:t>
      </w:r>
      <w:hyperlink r:id="rId31">
        <w:r>
          <w:rPr>
            <w:rStyle w:val="WSCLink"/>
            <w:rFonts w:ascii="Georgia" w:hAnsi="Georgia" w:eastAsia="Georgia" w:cs="Georgia"/>
            <w:color w:val="825F1F"/>
            <w:u w:val="single"/>
          </w:rPr>
          <w:t xml:space="preserve">L032 - </w:t>
        </w:r>
      </w:hyperlink>
      <w:hyperlink r:id="rId31">
        <w:r>
          <w:rPr>
            <w:rStyle w:val="WSCLink"/>
            <w:rFonts w:ascii="Georgia" w:hAnsi="Georgia" w:eastAsia="Georgia" w:cs="Georgia"/>
            <w:color w:val="825F1F"/>
            <w:u w:val="single"/>
            <w:i/>
          </w:rPr>
          <w:t>The Last Judgment</w:t>
        </w:r>
      </w:hyperlink>
      <w:r>
        <w:rPr>
          <w:b w:val="0"/>
          <w:i w:val="0"/>
        </w:rPr>
        <w:t>, painted in the Sistine Chapel from 1536 to 1541, organizes hundreds of bodies around Christ's commanding centre. Figures rise toward salvation or are dragged toward damnation. The vast wall makes judgment immersive: viewers stand within the same moral universe rather than examining a distant incident.</w:t>
      </w:r>
    </w:p>
    <w:p>
      <w:pPr/>
      <w:r>
        <w:rPr>
          <w:b w:val="0"/>
          <w:i w:val="0"/>
        </w:rPr>
        <w:t xml:space="preserve">Pieter Bruegel the Elder's </w:t>
      </w:r>
      <w:hyperlink r:id="rId32">
        <w:r>
          <w:rPr>
            <w:rStyle w:val="WSCLink"/>
            <w:rFonts w:ascii="Georgia" w:hAnsi="Georgia" w:eastAsia="Georgia" w:cs="Georgia"/>
            <w:color w:val="825F1F"/>
            <w:u w:val="single"/>
          </w:rPr>
          <w:t xml:space="preserve">L033 - </w:t>
        </w:r>
      </w:hyperlink>
      <w:hyperlink r:id="rId32">
        <w:r>
          <w:rPr>
            <w:rStyle w:val="WSCLink"/>
            <w:rFonts w:ascii="Georgia" w:hAnsi="Georgia" w:eastAsia="Georgia" w:cs="Georgia"/>
            <w:color w:val="825F1F"/>
            <w:u w:val="single"/>
            <w:i/>
          </w:rPr>
          <w:t>The Triumph of Death</w:t>
        </w:r>
      </w:hyperlink>
      <w:r>
        <w:rPr>
          <w:b w:val="0"/>
          <w:i w:val="0"/>
        </w:rPr>
        <w:t xml:space="preserve"> (around 1562) spreads destruction across everyday society. Skeleton armies overwhelm peasants, lovers, soldiers, rulers, and clergy. Rank offers little protection. Compared with Michelangelo's ordered vertical separation, Bruegel makes death level the social landscape.</w:t>
      </w:r>
    </w:p>
    <w:p>
      <w:pPr>
        <w:pStyle w:val="Heading2"/>
      </w:pPr>
      <w:r>
        <w:rPr>
          <w:b w:val="0"/>
          <w:i w:val="0"/>
        </w:rPr>
        <w:t>Medium changes the audience's route</w:t>
      </w:r>
    </w:p>
    <w:p>
      <w:pPr/>
      <w:r>
        <w:rPr>
          <w:b w:val="0"/>
          <w:i w:val="0"/>
        </w:rPr>
        <w:t>Durer's woodcut and Michelangelo's fresco do not merely show different images. They travel differently. A print can be reproduced, sold, collected, and examined closely in many locations. Its compressed black lines make the Horsemen legible on a page, and repetition can carry one apocalyptic vision across a wide audience. The Sistine Chapel fresco is tied to architecture, ritual, and papal power. Its scale overwhelms a viewer standing below, while the wall's position turns the chapel itself into a theatre of judgment.</w:t>
      </w:r>
    </w:p>
    <w:p>
      <w:pPr/>
      <w:r>
        <w:rPr>
          <w:b w:val="0"/>
          <w:i w:val="0"/>
        </w:rPr>
        <w:t>That changes authority. The print enters homes and collections; the fresco surrounds a visitor within an institution. One invites the hand and eye to follow dense lines. The other requires the body to look upward at a hierarchy far larger than itself. In an official comparison, medium, circulation, and viewing position are part of meaning, not background facts.</w:t>
      </w:r>
    </w:p>
    <w:p>
      <w:pPr/>
      <w:r>
        <w:rPr>
          <w:b w:val="0"/>
          <w:i w:val="0"/>
        </w:rPr>
        <w:t xml:space="preserve">Botticelli and Bruegel also reverse the emotional balance. </w:t>
      </w:r>
      <w:r>
        <w:rPr>
          <w:b w:val="0"/>
          <w:i/>
        </w:rPr>
        <w:t>Mystic Nativity</w:t>
      </w:r>
      <w:r>
        <w:rPr>
          <w:b w:val="0"/>
          <w:i w:val="0"/>
        </w:rPr>
        <w:t xml:space="preserve"> places worldly trouble beneath an opened heaven. Circular movement, embraces, olive branches, and fleeing demons make renewal visible. </w:t>
      </w:r>
      <w:r>
        <w:rPr>
          <w:b w:val="0"/>
          <w:i/>
        </w:rPr>
        <w:t>The Triumph of Death</w:t>
      </w:r>
      <w:r>
        <w:rPr>
          <w:b w:val="0"/>
          <w:i w:val="0"/>
        </w:rPr>
        <w:t xml:space="preserve"> offers almost no protected centre. Music and romance continue at the edge of slaughter, suggesting either ignorance or the terrible persistence of ordinary pleasure. Both include collective scenes, but one gathers figures toward reconciliation while the other disperses them through universal vulnerability.</w:t>
      </w:r>
    </w:p>
    <w:p>
      <w:pPr>
        <w:pStyle w:val="Heading2"/>
      </w:pPr>
      <w:r>
        <w:rPr>
          <w:b w:val="0"/>
          <w:i w:val="0"/>
        </w:rPr>
        <w:t>Modern catastrophe moves into history</w:t>
      </w:r>
    </w:p>
    <w:p>
      <w:pPr/>
      <w:r>
        <w:rPr>
          <w:b w:val="0"/>
          <w:i w:val="0"/>
        </w:rPr>
        <w:t xml:space="preserve">Thomas Cole's </w:t>
      </w:r>
      <w:hyperlink r:id="rId33">
        <w:r>
          <w:rPr>
            <w:rStyle w:val="WSCLink"/>
            <w:rFonts w:ascii="Georgia" w:hAnsi="Georgia" w:eastAsia="Georgia" w:cs="Georgia"/>
            <w:color w:val="825F1F"/>
            <w:u w:val="single"/>
          </w:rPr>
          <w:t xml:space="preserve">L034 - </w:t>
        </w:r>
      </w:hyperlink>
      <w:hyperlink r:id="rId33">
        <w:r>
          <w:rPr>
            <w:rStyle w:val="WSCLink"/>
            <w:rFonts w:ascii="Georgia" w:hAnsi="Georgia" w:eastAsia="Georgia" w:cs="Georgia"/>
            <w:color w:val="825F1F"/>
            <w:u w:val="single"/>
            <w:i/>
          </w:rPr>
          <w:t>The Course of Empire: Destruction</w:t>
        </w:r>
      </w:hyperlink>
      <w:r>
        <w:rPr>
          <w:b w:val="0"/>
          <w:i w:val="0"/>
        </w:rPr>
        <w:t xml:space="preserve"> (1836) belongs to a five-painting cycle in which the same landscape moves from wilderness through imperial splendour to ruin. Buildings, ships, smoke, and violent crowds make collapse the product of political ambition and historical cycle. The end belongs to an empire, not necessarily the planet.</w:t>
      </w:r>
    </w:p>
    <w:p>
      <w:pPr/>
      <w:r>
        <w:rPr>
          <w:b w:val="0"/>
          <w:i w:val="0"/>
        </w:rPr>
        <w:t xml:space="preserve">John Martin's </w:t>
      </w:r>
      <w:hyperlink r:id="rId34">
        <w:r>
          <w:rPr>
            <w:rStyle w:val="WSCLink"/>
            <w:rFonts w:ascii="Georgia" w:hAnsi="Georgia" w:eastAsia="Georgia" w:cs="Georgia"/>
            <w:color w:val="825F1F"/>
            <w:u w:val="single"/>
          </w:rPr>
          <w:t xml:space="preserve">L035 - </w:t>
        </w:r>
      </w:hyperlink>
      <w:hyperlink r:id="rId34">
        <w:r>
          <w:rPr>
            <w:rStyle w:val="WSCLink"/>
            <w:rFonts w:ascii="Georgia" w:hAnsi="Georgia" w:eastAsia="Georgia" w:cs="Georgia"/>
            <w:color w:val="825F1F"/>
            <w:u w:val="single"/>
            <w:i/>
          </w:rPr>
          <w:t>The Great Day of His Wrath</w:t>
        </w:r>
      </w:hyperlink>
      <w:r>
        <w:rPr>
          <w:b w:val="0"/>
          <w:i w:val="0"/>
        </w:rPr>
        <w:t xml:space="preserve"> (1851-1853) returns to biblical destruction at spectacular scale. Mountains and cities seem to fold inward. Tiny human bodies emphasize helplessness before geological and divine force. Its theatrical sublime makes terror visually pleasurable from the safety of a gallery.</w:t>
      </w:r>
    </w:p>
    <w:p>
      <w:pPr/>
      <w:r>
        <w:rPr>
          <w:b w:val="0"/>
          <w:i w:val="0"/>
        </w:rPr>
        <w:t>Cole and Martin make landscape carry historical judgment, but their time works differently. Cole's cycle asks viewers to remember the same site across stages. A peak and shoreline anchor the eye while human settlement grows, conquers, collapses, and eventually disappears. Destruction is one chapter in a longer course, so the viewer can search earlier splendour for causes. Martin concentrates catastrophe into a single impossible instant. Architecture and geology break together, leaving little space for gradual reform.</w:t>
      </w:r>
    </w:p>
    <w:p>
      <w:pPr/>
      <w:r>
        <w:rPr>
          <w:b w:val="0"/>
          <w:i w:val="0"/>
        </w:rPr>
        <w:t>Both paintings offer spectacle to viewers who are physically safe. This creates a moral ambiguity shared by disaster cinema. Sublime scale can warn against pride and make vulnerability felt. It can also turn other people's suffering into thrilling composition. Ask where the imagined viewer stands, whether any path of action remains, and whether beauty makes the warning more memorable or the destruction more consumable.</w:t>
      </w:r>
    </w:p>
    <w:p>
      <w:pPr/>
      <w:r>
        <w:rPr>
          <w:b w:val="0"/>
          <w:i w:val="0"/>
        </w:rPr>
        <w:t xml:space="preserve">Otto Dix's 1924 series </w:t>
      </w:r>
      <w:r>
        <w:rPr>
          <w:b w:val="0"/>
          <w:i/>
        </w:rPr>
        <w:t>Der Krieg</w:t>
      </w:r>
      <w:r>
        <w:rPr>
          <w:b w:val="0"/>
          <w:i w:val="0"/>
        </w:rPr>
        <w:t xml:space="preserve">, shown in </w:t>
      </w:r>
      <w:hyperlink r:id="rId35">
        <w:r>
          <w:rPr>
            <w:rStyle w:val="WSCLink"/>
            <w:rFonts w:ascii="Georgia" w:hAnsi="Georgia" w:eastAsia="Georgia" w:cs="Georgia"/>
            <w:color w:val="825F1F"/>
            <w:u w:val="single"/>
          </w:rPr>
          <w:t>L036 - a gallery of First World War prints</w:t>
        </w:r>
      </w:hyperlink>
      <w:r>
        <w:rPr>
          <w:b w:val="0"/>
          <w:i w:val="0"/>
        </w:rPr>
        <w:t>, refuses a distant mythical end. Gas masks, corpses, ruined trenches, and wounded bodies record a human-made apocalypse Dix had experienced as a soldier. Modern machinery does not appear as progress. It industrializes damage.</w:t>
      </w:r>
    </w:p>
    <w:p>
      <w:pPr/>
      <w:r>
        <w:rPr>
          <w:b w:val="0"/>
          <w:i w:val="0"/>
        </w:rPr>
        <w:t xml:space="preserve">Viktor Schreckengost's ceramic punch bowl </w:t>
      </w:r>
      <w:hyperlink r:id="rId36">
        <w:r>
          <w:rPr>
            <w:rStyle w:val="WSCLink"/>
            <w:rFonts w:ascii="Georgia" w:hAnsi="Georgia" w:eastAsia="Georgia" w:cs="Georgia"/>
            <w:color w:val="825F1F"/>
            <w:u w:val="single"/>
          </w:rPr>
          <w:t xml:space="preserve">L037 - </w:t>
        </w:r>
      </w:hyperlink>
      <w:hyperlink r:id="rId36">
        <w:r>
          <w:rPr>
            <w:rStyle w:val="WSCLink"/>
            <w:rFonts w:ascii="Georgia" w:hAnsi="Georgia" w:eastAsia="Georgia" w:cs="Georgia"/>
            <w:color w:val="825F1F"/>
            <w:u w:val="single"/>
            <w:i/>
          </w:rPr>
          <w:t>Apocalypse '42</w:t>
        </w:r>
      </w:hyperlink>
      <w:r>
        <w:rPr>
          <w:b w:val="0"/>
          <w:i w:val="0"/>
        </w:rPr>
        <w:t xml:space="preserve"> turns Hitler and Mussolini into caricature within a Last Judgment allegory. Harry Louis Freund's 1946 </w:t>
      </w:r>
      <w:hyperlink r:id="rId37">
        <w:r>
          <w:rPr>
            <w:rStyle w:val="WSCLink"/>
            <w:rFonts w:ascii="Georgia" w:hAnsi="Georgia" w:eastAsia="Georgia" w:cs="Georgia"/>
            <w:color w:val="825F1F"/>
            <w:u w:val="single"/>
          </w:rPr>
          <w:t xml:space="preserve">L038 - </w:t>
        </w:r>
      </w:hyperlink>
      <w:hyperlink r:id="rId37">
        <w:r>
          <w:rPr>
            <w:rStyle w:val="WSCLink"/>
            <w:rFonts w:ascii="Georgia" w:hAnsi="Georgia" w:eastAsia="Georgia" w:cs="Georgia"/>
            <w:color w:val="825F1F"/>
            <w:u w:val="single"/>
            <w:i/>
          </w:rPr>
          <w:t>Four Horsemen of the Apocalypse</w:t>
        </w:r>
      </w:hyperlink>
      <w:r>
        <w:rPr>
          <w:b w:val="0"/>
          <w:i w:val="0"/>
        </w:rPr>
        <w:t xml:space="preserve"> places the riders above a torrid battle and piles of bodies. Both works use an old scriptural vocabulary to interpret fascism and global war.</w:t>
      </w:r>
    </w:p>
    <w:p>
      <w:pPr/>
      <w:r>
        <w:rPr>
          <w:b w:val="0"/>
          <w:i w:val="0"/>
        </w:rPr>
        <w:t>Dix refuses the clean distance of allegory. Etching and aquatint produce corroded greys and harsh lines suited to mud, gas, bone, and damaged flesh. His series invites comparison with Durer because both use reproducible graphic media and dense black marks. Yet Durer's riders descend from scripture, while Dix's monsters are modern weapons, trenches, and bodies. The apocalypse has moved from an expected final judgment into a documented human event.</w:t>
      </w:r>
    </w:p>
    <w:p>
      <w:pPr/>
      <w:r>
        <w:rPr>
          <w:b w:val="0"/>
          <w:i w:val="0"/>
        </w:rPr>
        <w:t>Schreckengost and Freund restore the Horsemen after that historical rupture, but they cannot make the symbol innocent again. Hitler and Mussolini turn Last Judgment into political caricature, while Freund's sky riders hover over a battlefield whose dead recall recent war. The older image supplies instant recognition; the modern context assigns responsibility. Viewers are asked not only "will the world end?" but "which leaders and systems are producing an end for others now?"</w:t>
      </w:r>
    </w:p>
    <w:p>
      <w:pPr/>
      <w:r>
        <w:rPr>
          <w:b w:val="0"/>
          <w:i w:val="0"/>
        </w:rPr>
        <w:t xml:space="preserve">Saby Menyhei's </w:t>
      </w:r>
      <w:hyperlink r:id="rId38">
        <w:r>
          <w:rPr>
            <w:rStyle w:val="WSCLink"/>
            <w:rFonts w:ascii="Georgia" w:hAnsi="Georgia" w:eastAsia="Georgia" w:cs="Georgia"/>
            <w:color w:val="825F1F"/>
            <w:u w:val="single"/>
          </w:rPr>
          <w:t xml:space="preserve">L039 - concept art for season one of </w:t>
        </w:r>
      </w:hyperlink>
      <w:hyperlink r:id="rId38">
        <w:r>
          <w:rPr>
            <w:rStyle w:val="WSCLink"/>
            <w:rFonts w:ascii="Georgia" w:hAnsi="Georgia" w:eastAsia="Georgia" w:cs="Georgia"/>
            <w:color w:val="825F1F"/>
            <w:u w:val="single"/>
            <w:i/>
          </w:rPr>
          <w:t>The Last of Us</w:t>
        </w:r>
      </w:hyperlink>
      <w:r>
        <w:rPr>
          <w:b w:val="0"/>
          <w:i w:val="0"/>
        </w:rPr>
        <w:t xml:space="preserve"> shifts apocalypse into production design. Empty Boston approaches, quarantine architecture, bodies, vegetation, and ruined interiors must create a coherent world for a television story. Concept art asks practical questions that older final judgments do not: what infrastructure remains, how does a survivor move through it, and what does abandonment look like at street level?</w:t>
      </w:r>
    </w:p>
    <w:p>
      <w:pPr/>
      <w:r>
        <w:rPr>
          <w:b w:val="0"/>
          <w:i w:val="0"/>
        </w:rPr>
        <w:t xml:space="preserve">Kevin Sherwood and James McCawley's </w:t>
      </w:r>
      <w:hyperlink r:id="rId39">
        <w:r>
          <w:rPr>
            <w:rStyle w:val="WSCLink"/>
            <w:rFonts w:ascii="Georgia" w:hAnsi="Georgia" w:eastAsia="Georgia" w:cs="Georgia"/>
            <w:color w:val="825F1F"/>
            <w:u w:val="single"/>
          </w:rPr>
          <w:t>L040 - "Where Are We Going?"</w:t>
        </w:r>
      </w:hyperlink>
      <w:r>
        <w:rPr>
          <w:b w:val="0"/>
          <w:i w:val="0"/>
        </w:rPr>
        <w:t xml:space="preserve">, associated with the 2013 </w:t>
      </w:r>
      <w:r>
        <w:rPr>
          <w:b w:val="0"/>
          <w:i/>
        </w:rPr>
        <w:t>Call of Duty: Black Ops II</w:t>
      </w:r>
      <w:r>
        <w:rPr>
          <w:b w:val="0"/>
          <w:i w:val="0"/>
        </w:rPr>
        <w:t xml:space="preserve"> Zombies map "Mob of the Dead," places the route question inside repeated death and escape. The title is no longer a child asking for arrival. It is a trapped voice asking whether movement has direction at all.</w:t>
      </w:r>
    </w:p>
    <w:p>
      <w:pPr/>
      <w:r>
        <w:rPr>
          <w:b w:val="0"/>
          <w:i w:val="0"/>
        </w:rPr>
        <w:t>Menyhei's images are not final frames presented as autonomous museum objects. They are working proposals within collaborative production. A concept artist tests scale, atmosphere, routes, landmarks, light, and the relation between living growth and ruined construction so that later teams can build a consistent screen world. The empty city must tell a history before dialogue explains it. Barricades imply former authority, overgrowth measures elapsed time, and a small human figure lets viewers read danger and distance.</w:t>
      </w:r>
    </w:p>
    <w:p>
      <w:pPr/>
      <w:r>
        <w:rPr>
          <w:b w:val="0"/>
          <w:i w:val="0"/>
        </w:rPr>
        <w:t>The game song adds participation. A player does not only witness a ruined world; they repeat routes, fail, learn patterns, and try again. "Where are we going?" therefore has a mechanical answer and an existential one. The next objective may be marked while the larger cycle remains a prison. Digital apocalypse can turn the viewer into an agent without granting enough power to escape the story's system.</w:t>
      </w:r>
    </w:p>
    <w:p>
      <w:pPr>
        <w:pStyle w:val="Heading2"/>
      </w:pPr>
      <w:r>
        <w:rPr>
          <w:b w:val="0"/>
          <w:i w:val="0"/>
        </w:rPr>
        <w:t>Three musical endings</w:t>
      </w:r>
    </w:p>
    <w:p>
      <w:pPr/>
      <w:r>
        <w:rPr>
          <w:b w:val="0"/>
          <w:i w:val="0"/>
        </w:rPr>
        <w:t xml:space="preserve">Olivier Messiaen composed the </w:t>
      </w:r>
      <w:r>
        <w:rPr>
          <w:b w:val="0"/>
          <w:i/>
        </w:rPr>
        <w:t>Quartet for the End of Time</w:t>
      </w:r>
      <w:r>
        <w:rPr>
          <w:b w:val="0"/>
          <w:i w:val="0"/>
        </w:rPr>
        <w:t xml:space="preserve"> while imprisoned in a German prisoner-of-war camp and premiered it there in January 1941. The curriculum dates the work 1940, which refers to composition. The clarinet solo </w:t>
      </w:r>
      <w:hyperlink r:id="rId40">
        <w:r>
          <w:rPr>
            <w:rStyle w:val="WSCLink"/>
            <w:rFonts w:ascii="Georgia" w:hAnsi="Georgia" w:eastAsia="Georgia" w:cs="Georgia"/>
            <w:color w:val="825F1F"/>
            <w:u w:val="single"/>
          </w:rPr>
          <w:t>L041 - "Abyss of the Birds"</w:t>
        </w:r>
      </w:hyperlink>
      <w:r>
        <w:rPr>
          <w:b w:val="0"/>
          <w:i w:val="0"/>
        </w:rPr>
        <w:t xml:space="preserve"> alternates extremely slow, desolate passages with rapid birdsong. Silence and stretched time matter as much as notes. The "end" is theological and temporal, imagined from inside captivity.</w:t>
      </w:r>
    </w:p>
    <w:p>
      <w:pPr/>
      <w:r>
        <w:rPr>
          <w:b w:val="0"/>
          <w:i w:val="0"/>
        </w:rPr>
        <w:t xml:space="preserve">Black Sabbath's </w:t>
      </w:r>
      <w:hyperlink r:id="rId41">
        <w:r>
          <w:rPr>
            <w:rStyle w:val="WSCLink"/>
            <w:rFonts w:ascii="Georgia" w:hAnsi="Georgia" w:eastAsia="Georgia" w:cs="Georgia"/>
            <w:color w:val="825F1F"/>
            <w:u w:val="single"/>
          </w:rPr>
          <w:t>L042 - "Electric Funeral"</w:t>
        </w:r>
      </w:hyperlink>
      <w:r>
        <w:rPr>
          <w:b w:val="0"/>
          <w:i w:val="0"/>
        </w:rPr>
        <w:t xml:space="preserve"> (1970) makes nuclear destruction heavy. Distorted guitar, a slow riff, and images of atomic fire turn technological catastrophe into bodily weight. Its sound belongs to an era in which electric amplification and weapons technology could share an atmosphere of power and dread.</w:t>
      </w:r>
    </w:p>
    <w:p>
      <w:pPr/>
      <w:r>
        <w:rPr>
          <w:b w:val="0"/>
          <w:i w:val="0"/>
        </w:rPr>
        <w:t xml:space="preserve">R.E.M.'s </w:t>
      </w:r>
      <w:hyperlink r:id="rId42">
        <w:r>
          <w:rPr>
            <w:rStyle w:val="WSCLink"/>
            <w:rFonts w:ascii="Georgia" w:hAnsi="Georgia" w:eastAsia="Georgia" w:cs="Georgia"/>
            <w:color w:val="825F1F"/>
            <w:u w:val="single"/>
          </w:rPr>
          <w:t>L043 - "It's the End of the World as We Know It (And I Feel Fine)"</w:t>
        </w:r>
      </w:hyperlink>
      <w:r>
        <w:rPr>
          <w:b w:val="0"/>
          <w:i w:val="0"/>
        </w:rPr>
        <w:t xml:space="preserve"> (1987) moves in the opposite direction. Rapid lyrics pile names and fragments into overload while the chorus remains catchy and almost cheerful. The speaker does not calmly explain disaster. The form imitates information arriving too quickly to organize.</w:t>
      </w:r>
    </w:p>
    <w:p>
      <w:pPr/>
      <w:r>
        <w:rPr>
          <w:b w:val="0"/>
          <w:i w:val="0"/>
        </w:rPr>
        <w:t>The three pieces create different clocks. Messiaen stretches time until a sustained clarinet note becomes an environment, then releases quick birdsong that seems free of human chronology. The solo's exposed breath and extreme range make one performer sound both isolated and immense. Knowing the prisoner-of-war context changes the abyss from an abstract mood into art made where ordinary freedom had already ended.</w:t>
      </w:r>
    </w:p>
    <w:p>
      <w:pPr/>
      <w:r>
        <w:rPr>
          <w:b w:val="0"/>
          <w:i w:val="0"/>
        </w:rPr>
        <w:t>Black Sabbath builds weight through repetition. The distorted riff returns like machinery that cannot easily be stopped, while shifts in tempo and vocal warning give nuclear fear a physical pulse. Electricity powers the music that imagines an "electric funeral," creating a productive contradiction between technological art and technological destruction.</w:t>
      </w:r>
    </w:p>
    <w:p>
      <w:pPr/>
      <w:r>
        <w:rPr>
          <w:b w:val="0"/>
          <w:i w:val="0"/>
        </w:rPr>
        <w:t>R.E.M. uses speed rather than weight. The listener cannot comfortably process every reference before the next arrives. A bright, propulsive performance makes overload singable. The phrase "and I feel fine" can be resilience, denial, sarcasm, or adaptation to permanent crisis. Compare the listener's body: Messiaen demands suspended attention, Sabbath invites a heavy repeated groove, and R.E.M. produces breathless forward motion. Sound does not decorate three endings; it gives each ending its own experience of time.</w:t>
      </w:r>
    </w:p>
    <w:p>
      <w:pPr/>
      <w:r>
        <w:rPr>
          <w:b w:val="0"/>
          <w:i w:val="0"/>
        </w:rPr>
        <w:t>These works should not be memorized as a chronology alone. Compare where they place viewers, who causes catastrophe, whether the saved and doomed are visually separated, and whether the mood is terror, judgment, grief, spectacle, resistance, or strange acceptance. Art makes the end imaginable, but imagination can warn, console, thrill, or sell.</w:t>
      </w:r>
    </w:p>
    <w:p>
      <w:pPr>
        <w:pStyle w:val="WSCSourceNote"/>
        <w:shd w:fill="F7EACC" w:val="clear"/>
        <w:pBdr>
          <w:left w:val="single" w:sz="14" w:space="6" w:color="C89C44"/>
        </w:pBdr>
      </w:pPr>
      <w:r>
        <w:rPr>
          <w:b/>
          <w:i w:val="0"/>
        </w:rPr>
        <w:t>Sources for this chapter:</w:t>
      </w:r>
      <w:r>
        <w:rPr>
          <w:b w:val="0"/>
          <w:i w:val="0"/>
        </w:rPr>
        <w:t xml:space="preserve"> The complete visual and musical trail is </w:t>
      </w:r>
      <w:hyperlink r:id="rId28">
        <w:r>
          <w:rPr>
            <w:rStyle w:val="WSCLink"/>
            <w:rFonts w:ascii="Georgia" w:hAnsi="Georgia" w:eastAsia="Georgia" w:cs="Georgia"/>
            <w:color w:val="825F1F"/>
            <w:u w:val="single"/>
          </w:rPr>
          <w:t>L029</w:t>
        </w:r>
      </w:hyperlink>
      <w:r>
        <w:rPr>
          <w:b w:val="0"/>
          <w:i w:val="0"/>
        </w:rPr>
        <w:t xml:space="preserve">, </w:t>
      </w:r>
      <w:hyperlink r:id="rId29">
        <w:r>
          <w:rPr>
            <w:rStyle w:val="WSCLink"/>
            <w:rFonts w:ascii="Georgia" w:hAnsi="Georgia" w:eastAsia="Georgia" w:cs="Georgia"/>
            <w:color w:val="825F1F"/>
            <w:u w:val="single"/>
          </w:rPr>
          <w:t>L030</w:t>
        </w:r>
      </w:hyperlink>
      <w:r>
        <w:rPr>
          <w:b w:val="0"/>
          <w:i w:val="0"/>
        </w:rPr>
        <w:t xml:space="preserve">, </w:t>
      </w:r>
      <w:hyperlink r:id="rId30">
        <w:r>
          <w:rPr>
            <w:rStyle w:val="WSCLink"/>
            <w:rFonts w:ascii="Georgia" w:hAnsi="Georgia" w:eastAsia="Georgia" w:cs="Georgia"/>
            <w:color w:val="825F1F"/>
            <w:u w:val="single"/>
          </w:rPr>
          <w:t>L031</w:t>
        </w:r>
      </w:hyperlink>
      <w:r>
        <w:rPr>
          <w:b w:val="0"/>
          <w:i w:val="0"/>
        </w:rPr>
        <w:t xml:space="preserve">, </w:t>
      </w:r>
      <w:hyperlink r:id="rId31">
        <w:r>
          <w:rPr>
            <w:rStyle w:val="WSCLink"/>
            <w:rFonts w:ascii="Georgia" w:hAnsi="Georgia" w:eastAsia="Georgia" w:cs="Georgia"/>
            <w:color w:val="825F1F"/>
            <w:u w:val="single"/>
          </w:rPr>
          <w:t>L032</w:t>
        </w:r>
      </w:hyperlink>
      <w:r>
        <w:rPr>
          <w:b w:val="0"/>
          <w:i w:val="0"/>
        </w:rPr>
        <w:t xml:space="preserve">, </w:t>
      </w:r>
      <w:hyperlink r:id="rId32">
        <w:r>
          <w:rPr>
            <w:rStyle w:val="WSCLink"/>
            <w:rFonts w:ascii="Georgia" w:hAnsi="Georgia" w:eastAsia="Georgia" w:cs="Georgia"/>
            <w:color w:val="825F1F"/>
            <w:u w:val="single"/>
          </w:rPr>
          <w:t>L033</w:t>
        </w:r>
      </w:hyperlink>
      <w:r>
        <w:rPr>
          <w:b w:val="0"/>
          <w:i w:val="0"/>
        </w:rPr>
        <w:t xml:space="preserve">, </w:t>
      </w:r>
      <w:hyperlink r:id="rId33">
        <w:r>
          <w:rPr>
            <w:rStyle w:val="WSCLink"/>
            <w:rFonts w:ascii="Georgia" w:hAnsi="Georgia" w:eastAsia="Georgia" w:cs="Georgia"/>
            <w:color w:val="825F1F"/>
            <w:u w:val="single"/>
          </w:rPr>
          <w:t>L034</w:t>
        </w:r>
      </w:hyperlink>
      <w:r>
        <w:rPr>
          <w:b w:val="0"/>
          <w:i w:val="0"/>
        </w:rPr>
        <w:t xml:space="preserve">, </w:t>
      </w:r>
      <w:hyperlink r:id="rId34">
        <w:r>
          <w:rPr>
            <w:rStyle w:val="WSCLink"/>
            <w:rFonts w:ascii="Georgia" w:hAnsi="Georgia" w:eastAsia="Georgia" w:cs="Georgia"/>
            <w:color w:val="825F1F"/>
            <w:u w:val="single"/>
          </w:rPr>
          <w:t>L035</w:t>
        </w:r>
      </w:hyperlink>
      <w:r>
        <w:rPr>
          <w:b w:val="0"/>
          <w:i w:val="0"/>
        </w:rPr>
        <w:t xml:space="preserve">, </w:t>
      </w:r>
      <w:hyperlink r:id="rId35">
        <w:r>
          <w:rPr>
            <w:rStyle w:val="WSCLink"/>
            <w:rFonts w:ascii="Georgia" w:hAnsi="Georgia" w:eastAsia="Georgia" w:cs="Georgia"/>
            <w:color w:val="825F1F"/>
            <w:u w:val="single"/>
          </w:rPr>
          <w:t>L036</w:t>
        </w:r>
      </w:hyperlink>
      <w:r>
        <w:rPr>
          <w:b w:val="0"/>
          <w:i w:val="0"/>
        </w:rPr>
        <w:t xml:space="preserve">, </w:t>
      </w:r>
      <w:hyperlink r:id="rId36">
        <w:r>
          <w:rPr>
            <w:rStyle w:val="WSCLink"/>
            <w:rFonts w:ascii="Georgia" w:hAnsi="Georgia" w:eastAsia="Georgia" w:cs="Georgia"/>
            <w:color w:val="825F1F"/>
            <w:u w:val="single"/>
          </w:rPr>
          <w:t>L037</w:t>
        </w:r>
      </w:hyperlink>
      <w:r>
        <w:rPr>
          <w:b w:val="0"/>
          <w:i w:val="0"/>
        </w:rPr>
        <w:t xml:space="preserve">, </w:t>
      </w:r>
      <w:hyperlink r:id="rId37">
        <w:r>
          <w:rPr>
            <w:rStyle w:val="WSCLink"/>
            <w:rFonts w:ascii="Georgia" w:hAnsi="Georgia" w:eastAsia="Georgia" w:cs="Georgia"/>
            <w:color w:val="825F1F"/>
            <w:u w:val="single"/>
          </w:rPr>
          <w:t>L038</w:t>
        </w:r>
      </w:hyperlink>
      <w:r>
        <w:rPr>
          <w:b w:val="0"/>
          <w:i w:val="0"/>
        </w:rPr>
        <w:t xml:space="preserve">, </w:t>
      </w:r>
      <w:hyperlink r:id="rId38">
        <w:r>
          <w:rPr>
            <w:rStyle w:val="WSCLink"/>
            <w:rFonts w:ascii="Georgia" w:hAnsi="Georgia" w:eastAsia="Georgia" w:cs="Georgia"/>
            <w:color w:val="825F1F"/>
            <w:u w:val="single"/>
          </w:rPr>
          <w:t>L039</w:t>
        </w:r>
      </w:hyperlink>
      <w:r>
        <w:rPr>
          <w:b w:val="0"/>
          <w:i w:val="0"/>
        </w:rPr>
        <w:t xml:space="preserve">, </w:t>
      </w:r>
      <w:hyperlink r:id="rId39">
        <w:r>
          <w:rPr>
            <w:rStyle w:val="WSCLink"/>
            <w:rFonts w:ascii="Georgia" w:hAnsi="Georgia" w:eastAsia="Georgia" w:cs="Georgia"/>
            <w:color w:val="825F1F"/>
            <w:u w:val="single"/>
          </w:rPr>
          <w:t>L040</w:t>
        </w:r>
      </w:hyperlink>
      <w:r>
        <w:rPr>
          <w:b w:val="0"/>
          <w:i w:val="0"/>
        </w:rPr>
        <w:t xml:space="preserve">, </w:t>
      </w:r>
      <w:hyperlink r:id="rId40">
        <w:r>
          <w:rPr>
            <w:rStyle w:val="WSCLink"/>
            <w:rFonts w:ascii="Georgia" w:hAnsi="Georgia" w:eastAsia="Georgia" w:cs="Georgia"/>
            <w:color w:val="825F1F"/>
            <w:u w:val="single"/>
          </w:rPr>
          <w:t>L041</w:t>
        </w:r>
      </w:hyperlink>
      <w:r>
        <w:rPr>
          <w:b w:val="0"/>
          <w:i w:val="0"/>
        </w:rPr>
        <w:t xml:space="preserve">, </w:t>
      </w:r>
      <w:hyperlink r:id="rId41">
        <w:r>
          <w:rPr>
            <w:rStyle w:val="WSCLink"/>
            <w:rFonts w:ascii="Georgia" w:hAnsi="Georgia" w:eastAsia="Georgia" w:cs="Georgia"/>
            <w:color w:val="825F1F"/>
            <w:u w:val="single"/>
          </w:rPr>
          <w:t>L042</w:t>
        </w:r>
      </w:hyperlink>
      <w:r>
        <w:rPr>
          <w:b w:val="0"/>
          <w:i w:val="0"/>
        </w:rPr>
        <w:t xml:space="preserve">, and </w:t>
      </w:r>
      <w:hyperlink r:id="rId42">
        <w:r>
          <w:rPr>
            <w:rStyle w:val="WSCLink"/>
            <w:rFonts w:ascii="Georgia" w:hAnsi="Georgia" w:eastAsia="Georgia" w:cs="Georgia"/>
            <w:color w:val="825F1F"/>
            <w:u w:val="single"/>
          </w:rPr>
          <w:t>L043</w:t>
        </w:r>
      </w:hyperlink>
      <w:r>
        <w:rPr>
          <w:b w:val="0"/>
          <w:i w:val="0"/>
        </w:rPr>
        <w:t>. Museum pages support object facts; the linked performances must be heard for tempo, texture, silence, and delivery.</w:t>
      </w:r>
    </w:p>
    <w:p>
      <w:pPr>
        <w:pStyle w:val="Heading1"/>
        <w:pageBreakBefore/>
        <w:pBdr>
          <w:bottom w:val="single" w:sz="9" w:space="5" w:color="C89C44"/>
        </w:pBdr>
      </w:pPr>
      <w:r>
        <w:rPr>
          <w:b w:val="0"/>
          <w:i w:val="0"/>
        </w:rPr>
        <w:t>Chapter 5 - Urgency can focus, frighten, and manipulate</w:t>
      </w:r>
    </w:p>
    <w:p>
      <w:pPr/>
      <w:r>
        <w:rPr>
          <w:b w:val="0"/>
          <w:i w:val="0"/>
        </w:rPr>
        <w:t>Every previous branch changes behaviour by making an ending feel close. Caretaker rules limit decisions because an election is near. A prophecy asks believers to prepare. A warning signal asks institutions to intervene. Art asks an audience to feel catastrophe in advance. Investors anticipate demand for last-resort technology. Nearness can therefore produce wise attention or transfer power to whoever controls the clock.</w:t>
      </w:r>
    </w:p>
    <w:p>
      <w:pPr>
        <w:pStyle w:val="Heading2"/>
      </w:pPr>
      <w:r>
        <w:rPr>
          <w:b w:val="0"/>
          <w:i w:val="0"/>
        </w:rPr>
        <w:t>What a deadline does to thought</w:t>
      </w:r>
    </w:p>
    <w:p>
      <w:pPr/>
      <w:r>
        <w:rPr>
          <w:b w:val="0"/>
          <w:i w:val="0"/>
        </w:rPr>
        <w:t>A deadline reduces options. It can overcome procrastination, coordinate people, and make priorities explicit. Emergency warnings similarly compress a complex problem into an action: evacuate, shelter, stop using the water, or install an update. When evidence is strong and the action is clear, urgency protects.</w:t>
      </w:r>
    </w:p>
    <w:p>
      <w:pPr/>
      <w:r>
        <w:rPr>
          <w:b w:val="0"/>
          <w:i w:val="0"/>
        </w:rPr>
        <w:t>Scarcity of time also narrows attention. People may accept weak evidence, concentrate authority, buy unnecessary protection, or ignore long-term costs. A leader can declare that debate itself is dangerous because the end is near. A marketer can use a countdown that resets when the page reloads. A prophet can treat doubt as proof that outsiders do not understand the danger. The clock becomes a tool of control.</w:t>
      </w:r>
    </w:p>
    <w:p>
      <w:pPr/>
      <w:r>
        <w:rPr>
          <w:b w:val="0"/>
          <w:i w:val="0"/>
        </w:rPr>
        <w:t>Media incentives can amplify the same pressure. A precise catastrophic date produces a stronger headline than a range of conditional outcomes. Images of one dramatic event travel more easily than explanations of baseline risk. Repetition then creates familiarity, which audiences may mistake for corroboration even when every post traces back to one weak source. Before sharing, follow the claim to its earliest evidence and check whether later accounts added certainty that the original authors did not express.</w:t>
      </w:r>
    </w:p>
    <w:p>
      <w:pPr>
        <w:pStyle w:val="Heading2"/>
      </w:pPr>
      <w:r>
        <w:rPr>
          <w:b w:val="0"/>
          <w:i w:val="0"/>
        </w:rPr>
        <w:t>Four tests for an urgent claim</w:t>
      </w:r>
    </w:p>
    <w:p>
      <w:pPr/>
      <w:r>
        <w:rPr>
          <w:b w:val="0"/>
          <w:i w:val="0"/>
        </w:rPr>
        <w:t>First, identify the endpoint. Is it a constitutional date, a modelled threshold, an expert symbol, a religious interpretation, or a sales timer? Different endpoints deserve different confidence. Second, ask who set it and what method they published. The Doomsday Clock openly presents itself as a metaphor chosen by a board. A fake checkout timer pretends to be an external fact.</w:t>
      </w:r>
    </w:p>
    <w:p>
      <w:pPr/>
      <w:r>
        <w:rPr>
          <w:b w:val="0"/>
          <w:i w:val="0"/>
        </w:rPr>
        <w:t>Third, ask what would change the claim. Scientific forecasts should respond to new data. A prediction that is always reinterpreted after failure cannot be tested. Fourth, examine the requested action. Does it reduce the stated danger, protect the person making the claim, transfer money, silence oversight, or create dependence?</w:t>
      </w:r>
    </w:p>
    <w:p>
      <w:pPr/>
      <w:r>
        <w:rPr>
          <w:b w:val="0"/>
          <w:i w:val="0"/>
        </w:rPr>
        <w:t>These tests do not require certainty before action. A hurricane forecast can justify evacuation even though the exact path remains uncertain. The action is reversible compared with the possible harm, and the forecasting institution explains updates. By contrast, handing permanent power to a temporary leader because of an undefined emergency creates an irreversible cost with no clear exit.</w:t>
      </w:r>
    </w:p>
    <w:p>
      <w:pPr/>
      <w:r>
        <w:rPr>
          <w:b w:val="0"/>
          <w:i w:val="0"/>
        </w:rPr>
        <w:t>Urgency should also preserve a channel for revision. Forecast cones move, scientific assessments update, and emergency orders need review. A trustworthy communicator says what is known, what is not, when the next update will come, and what people should do now. Manipulation treats every question as delay and every update as proof that the speaker was right all along.</w:t>
      </w:r>
    </w:p>
    <w:p>
      <w:pPr>
        <w:pStyle w:val="Heading2"/>
      </w:pPr>
      <w:r>
        <w:rPr>
          <w:b w:val="0"/>
          <w:i w:val="0"/>
        </w:rPr>
        <w:t>Why failed warnings do not all belong together</w:t>
      </w:r>
    </w:p>
    <w:p>
      <w:pPr/>
      <w:r>
        <w:rPr>
          <w:b w:val="0"/>
          <w:i w:val="0"/>
        </w:rPr>
        <w:t>The Millerite date, Y2K risk, and climate tipping warnings can all be followed by a world that continues. Their logic differs. The Millerite claim tied sacred chronology to a specific expected event that did not occur observably. Y2K identified technical vulnerabilities and triggered a large repair effort before the deadline. Climate science describes probabilities and multiple system thresholds while mitigation changes future outcomes. Calling all three "failed predictions" would punish successful prevention and misunderstand conditional forecasts.</w:t>
      </w:r>
    </w:p>
    <w:p>
      <w:pPr/>
      <w:r>
        <w:rPr>
          <w:b w:val="0"/>
          <w:i w:val="0"/>
        </w:rPr>
        <w:t>This distinction matters for public trust. If every avoided disaster is used to mock the warning, institutions lose incentive to prepare. If every false alarm is defended as a hidden success, institutions escape accountability. Good warning systems publish assumptions, record predictions before outcomes, evaluate misses and false alarms, and explain how interventions altered the route.</w:t>
      </w:r>
    </w:p>
    <w:p>
      <w:pPr>
        <w:pStyle w:val="Heading2"/>
      </w:pPr>
      <w:r>
        <w:rPr>
          <w:b w:val="0"/>
          <w:i w:val="0"/>
        </w:rPr>
        <w:t>Hope after a threshold</w:t>
      </w:r>
    </w:p>
    <w:p>
      <w:pPr/>
      <w:r>
        <w:rPr>
          <w:b w:val="0"/>
          <w:i w:val="0"/>
        </w:rPr>
        <w:t>"Point of no return" rhetoric can motivate early action, but it can also create fatalism after one threshold is crossed. Complex crises contain many endpoints. A species may be lost while a habitat can still be protected. A city may face unavoidable sea-level rise while adaptation choices still determine who remains safe. One climate target may be exceeded while every additional degree still matters.</w:t>
      </w:r>
    </w:p>
    <w:p>
      <w:pPr/>
      <w:r>
        <w:rPr>
          <w:b w:val="0"/>
          <w:i w:val="0"/>
        </w:rPr>
        <w:t>Apocalyptic art often understands this better than a slogan. Botticelli places renewal inside turmoil. Messiaen composes birdsong inside captivity. R.E.M.'s speaker feels fine, perhaps sincerely and perhaps absurdly, amid information overload. These works do not promise that harm disappears. They show that meaning and action continue inside the near-end zone.</w:t>
      </w:r>
    </w:p>
    <w:p>
      <w:pPr>
        <w:pStyle w:val="Heading2"/>
      </w:pPr>
      <w:r>
        <w:rPr>
          <w:b w:val="0"/>
          <w:i w:val="0"/>
        </w:rPr>
        <w:t>Who gets to prepare, and who gets left behind?</w:t>
      </w:r>
    </w:p>
    <w:p>
      <w:pPr/>
      <w:r>
        <w:rPr>
          <w:b w:val="0"/>
          <w:i w:val="0"/>
        </w:rPr>
        <w:t>Preparation is distributed unequally. Wealthier households can buy insurance, cooling, relocation, backup power, or private information. Investors can treat danger as a future market. People most exposed to floods, heat, war, or political transition may have contributed least to the risk and possess the fewest exits.</w:t>
      </w:r>
    </w:p>
    <w:p>
      <w:pPr/>
      <w:r>
        <w:rPr>
          <w:b w:val="0"/>
          <w:i w:val="0"/>
        </w:rPr>
        <w:t>An ethical response therefore asks more than whether a technology works. It asks who governs it, whose knowledge counts, who receives protection first, and whether adaptation becomes an excuse to abandon prevention. A profitable shelter can save lives. A system that protects only customers while worsening danger for everyone else has reached the wrong destination.</w:t>
      </w:r>
    </w:p>
    <w:p>
      <w:pPr/>
      <w:r>
        <w:rPr>
          <w:b w:val="0"/>
          <w:i w:val="0"/>
        </w:rPr>
        <w:t>The distribution question changes the meaning of resilience. If a city recovers its financial district while displaced residents cannot return, a headline recovery metric can conceal a social ending. Community knowledge, public services, labour protection, and affordable access belong to preparedness alongside engineering. The people exposed to a risk should not appear only as beneficiaries after decisions have already been made.</w:t>
      </w:r>
    </w:p>
    <w:p>
      <w:pPr/>
      <w:r>
        <w:rPr>
          <w:b w:val="0"/>
          <w:i w:val="0"/>
        </w:rPr>
        <w:t>The word "nearish" should leave scholars alert but not helpless. Uncertainty is not emptiness. It is a range within which evidence, power, reversibility, and justice must be compared. The best warning preserves the ability to think while making the cost of delay impossible to ignore.</w:t>
      </w:r>
    </w:p>
    <w:p>
      <w:pPr>
        <w:pStyle w:val="WSCSourceNote"/>
        <w:shd w:fill="F7EACC" w:val="clear"/>
        <w:pBdr>
          <w:left w:val="single" w:sz="14" w:space="6" w:color="C89C44"/>
        </w:pBdr>
      </w:pPr>
      <w:r>
        <w:rPr>
          <w:b/>
          <w:i w:val="0"/>
        </w:rPr>
        <w:t>Sources for this chapter:</w:t>
      </w:r>
      <w:r>
        <w:rPr>
          <w:b w:val="0"/>
          <w:i w:val="0"/>
        </w:rPr>
        <w:t xml:space="preserve"> This synthesis should be checked against the original evidence rather than treated as a new independent source: the caretaker convention in </w:t>
      </w:r>
      <w:hyperlink r:id="rId12">
        <w:r>
          <w:rPr>
            <w:rStyle w:val="WSCLink"/>
            <w:rFonts w:ascii="Georgia" w:hAnsi="Georgia" w:eastAsia="Georgia" w:cs="Georgia"/>
            <w:color w:val="825F1F"/>
            <w:u w:val="single"/>
          </w:rPr>
          <w:t>L022</w:t>
        </w:r>
      </w:hyperlink>
      <w:r>
        <w:rPr>
          <w:b w:val="0"/>
          <w:i w:val="0"/>
        </w:rPr>
        <w:t xml:space="preserve">, the risk metaphor in </w:t>
      </w:r>
      <w:hyperlink r:id="rId14">
        <w:r>
          <w:rPr>
            <w:rStyle w:val="WSCLink"/>
            <w:rFonts w:ascii="Georgia" w:hAnsi="Georgia" w:eastAsia="Georgia" w:cs="Georgia"/>
            <w:color w:val="825F1F"/>
            <w:u w:val="single"/>
          </w:rPr>
          <w:t>L023</w:t>
        </w:r>
      </w:hyperlink>
      <w:r>
        <w:rPr>
          <w:b w:val="0"/>
          <w:i w:val="0"/>
        </w:rPr>
        <w:t xml:space="preserve">, failed-prediction histories in </w:t>
      </w:r>
      <w:hyperlink r:id="rId17">
        <w:r>
          <w:rPr>
            <w:rStyle w:val="WSCLink"/>
            <w:rFonts w:ascii="Georgia" w:hAnsi="Georgia" w:eastAsia="Georgia" w:cs="Georgia"/>
            <w:color w:val="825F1F"/>
            <w:u w:val="single"/>
          </w:rPr>
          <w:t>L026</w:t>
        </w:r>
      </w:hyperlink>
      <w:r>
        <w:rPr>
          <w:b w:val="0"/>
          <w:i w:val="0"/>
        </w:rPr>
        <w:t xml:space="preserve"> and </w:t>
      </w:r>
      <w:hyperlink r:id="rId18">
        <w:r>
          <w:rPr>
            <w:rStyle w:val="WSCLink"/>
            <w:rFonts w:ascii="Georgia" w:hAnsi="Georgia" w:eastAsia="Georgia" w:cs="Georgia"/>
            <w:color w:val="825F1F"/>
            <w:u w:val="single"/>
          </w:rPr>
          <w:t>L027</w:t>
        </w:r>
      </w:hyperlink>
      <w:r>
        <w:rPr>
          <w:b w:val="0"/>
          <w:i w:val="0"/>
        </w:rPr>
        <w:t xml:space="preserve">, warning signals in </w:t>
      </w:r>
      <w:hyperlink r:id="rId22">
        <w:r>
          <w:rPr>
            <w:rStyle w:val="WSCLink"/>
            <w:rFonts w:ascii="Georgia" w:hAnsi="Georgia" w:eastAsia="Georgia" w:cs="Georgia"/>
            <w:color w:val="825F1F"/>
            <w:u w:val="single"/>
          </w:rPr>
          <w:t>L044</w:t>
        </w:r>
      </w:hyperlink>
      <w:r>
        <w:rPr>
          <w:b w:val="0"/>
          <w:i w:val="0"/>
        </w:rPr>
        <w:t xml:space="preserve">, and climate investment in </w:t>
      </w:r>
      <w:hyperlink r:id="rId27">
        <w:r>
          <w:rPr>
            <w:rStyle w:val="WSCLink"/>
            <w:rFonts w:ascii="Georgia" w:hAnsi="Georgia" w:eastAsia="Georgia" w:cs="Georgia"/>
            <w:color w:val="825F1F"/>
            <w:u w:val="single"/>
          </w:rPr>
          <w:t>L048</w:t>
        </w:r>
      </w:hyperlink>
      <w:r>
        <w:rPr>
          <w:b w:val="0"/>
          <w:i w:val="0"/>
        </w:rPr>
        <w:t>.</w:t>
      </w:r>
    </w:p>
    <w:p>
      <w:pPr>
        <w:pStyle w:val="Heading1"/>
        <w:pBdr>
          <w:bottom w:val="single" w:sz="9" w:space="5" w:color="C89C44"/>
        </w:pBdr>
      </w:pPr>
      <w:r>
        <w:rPr>
          <w:b w:val="0"/>
          <w:i w:val="0"/>
        </w:rPr>
        <w:t>Final synthesis - The end is a zone of power</w:t>
      </w:r>
    </w:p>
    <w:p>
      <w:pPr/>
      <w:r>
        <w:rPr>
          <w:b w:val="0"/>
          <w:i w:val="0"/>
        </w:rPr>
        <w:t>"Near" is never only a distance. It tells people to shift loyalty, prepare, buy, evacuate, surrender, hope, or act. That makes every ending a question about power. Who names the threshold? Who sees the evidence? Who can leave? Who profits from preparation? Who must live with the result if the clock was wrong?</w:t>
      </w:r>
    </w:p>
    <w:p>
      <w:pPr/>
      <w:r>
        <w:rPr>
          <w:b w:val="0"/>
          <w:i w:val="0"/>
        </w:rPr>
        <w:t>The section offers a disciplined response. Separate legal dates from symbols, forecasts from prophecies, and warning signals from certainties. Read the links for mechanisms and dates. Correct the curriculum when a year is wrong. Compare the requested action with the evidence and insist on an exit from temporary power.</w:t>
      </w:r>
    </w:p>
    <w:p>
      <w:pPr/>
      <w:r>
        <w:rPr>
          <w:b w:val="0"/>
          <w:i w:val="0"/>
        </w:rPr>
        <w:t>An ending can be inevitable while its path remains open. A term will expire. A life will end. Other catastrophes are conditional, partial, or preventable. The value of knowing that an end is nearish lies in what can still be changed before, during, and after the threshold.</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THE END IS NEARISH</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THE END IS NEARISH</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peo.gov.au/understand-our-parliament/your-questions-on-notice/questions/do-the-prime-minister-and-ministers-keep-their-positions-during-an-election-period" TargetMode="External"/><Relationship Id="rId13" Type="http://schemas.openxmlformats.org/officeDocument/2006/relationships/hyperlink" Target="https://www.supremecourt.gov.bd/resources/documents/3360840_CA_112of2025_13_ammendment.pdf" TargetMode="External"/><Relationship Id="rId14" Type="http://schemas.openxmlformats.org/officeDocument/2006/relationships/hyperlink" Target="https://www.businessinsider.com/why-the-doomsday-clock-is-3-minutes-to-midnight-2016-1" TargetMode="External"/><Relationship Id="rId15" Type="http://schemas.openxmlformats.org/officeDocument/2006/relationships/hyperlink" Target="https://wellcomecollection.org/stories/devilry-and-doom-in-1666" TargetMode="External"/><Relationship Id="rId16" Type="http://schemas.openxmlformats.org/officeDocument/2006/relationships/hyperlink" Target="https://en.wikipedia.org/wiki/List_of_dates_predicted_for_apocalyptic_events" TargetMode="External"/><Relationship Id="rId17" Type="http://schemas.openxmlformats.org/officeDocument/2006/relationships/hyperlink" Target="https://www.britannica.com/list/10-failed-doomsday-predictions" TargetMode="External"/><Relationship Id="rId18" Type="http://schemas.openxmlformats.org/officeDocument/2006/relationships/hyperlink" Target="https://www.smithsonianmag.com/history/ten-notable-apocalypses-that-obviously-didnt-happen-9126331/" TargetMode="External"/><Relationship Id="rId19" Type="http://schemas.openxmlformats.org/officeDocument/2006/relationships/hyperlink" Target="https://www.youtube.com/watch?v=FcaHsbfkHA8" TargetMode="External"/><Relationship Id="rId20" Type="http://schemas.openxmlformats.org/officeDocument/2006/relationships/hyperlink" Target="https://thebulletin.org/doomsday-clock/current-time/" TargetMode="External"/><Relationship Id="rId21" Type="http://schemas.openxmlformats.org/officeDocument/2006/relationships/hyperlink" Target="https://archiv.ub.uni-marburg.de/ep/0004/article/download/3761/3577/7590" TargetMode="External"/><Relationship Id="rId22" Type="http://schemas.openxmlformats.org/officeDocument/2006/relationships/hyperlink" Target="https://www.caryinstitute.org/news-insights/feature/predicting-environmental-collapse" TargetMode="External"/><Relationship Id="rId23" Type="http://schemas.openxmlformats.org/officeDocument/2006/relationships/hyperlink" Target="https://www.nature.com/articles/s41558-025-02486-9" TargetMode="External"/><Relationship Id="rId24" Type="http://schemas.openxmlformats.org/officeDocument/2006/relationships/hyperlink" Target="https://www.bbc.com/news/articles/ckgy7jx082ro" TargetMode="External"/><Relationship Id="rId25" Type="http://schemas.openxmlformats.org/officeDocument/2006/relationships/hyperlink" Target="https://theecologist.org/2025/oct/13/point-no-return-climate" TargetMode="External"/><Relationship Id="rId26" Type="http://schemas.openxmlformats.org/officeDocument/2006/relationships/hyperlink" Target="https://global-tipping-points.org/case-studies/" TargetMode="External"/><Relationship Id="rId27" Type="http://schemas.openxmlformats.org/officeDocument/2006/relationships/hyperlink" Target="https://www.politico.com/news/2025/12/26/betting-on-climate-failure-investors-could-earn-billions-00677281" TargetMode="External"/><Relationship Id="rId28" Type="http://schemas.openxmlformats.org/officeDocument/2006/relationships/hyperlink" Target="https://hyperallergic.com/apocalypse-art-has-never-been-more-relevant-bibliotheque-nationale-de-france/" TargetMode="External"/><Relationship Id="rId29" Type="http://schemas.openxmlformats.org/officeDocument/2006/relationships/hyperlink" Target="https://www.metmuseum.org/art/collection/search/336215" TargetMode="External"/><Relationship Id="rId30" Type="http://schemas.openxmlformats.org/officeDocument/2006/relationships/hyperlink" Target="https://www.nationalgallery.org.uk/paintings/sandro-botticelli-mystic-nativity" TargetMode="External"/><Relationship Id="rId31" Type="http://schemas.openxmlformats.org/officeDocument/2006/relationships/hyperlink" Target="https://www.museivaticani.va/content/museivaticani/en/collezioni/musei/cappella-sistina/giudizio-universale.html" TargetMode="External"/><Relationship Id="rId32" Type="http://schemas.openxmlformats.org/officeDocument/2006/relationships/hyperlink" Target="https://www.afpradomuseum.org/the-triumph-of-death-brueghel-the-elder" TargetMode="External"/><Relationship Id="rId33" Type="http://schemas.openxmlformats.org/officeDocument/2006/relationships/hyperlink" Target="https://artsandculture.google.com/asset/the-course-of-empire-destruction-thomas-cole/tQFLZqWBxVAINQ?hl=en" TargetMode="External"/><Relationship Id="rId34" Type="http://schemas.openxmlformats.org/officeDocument/2006/relationships/hyperlink" Target="https://www.tate.org.uk/art/artworks/martin-the-great-day-of-his-wrath-n05613" TargetMode="External"/><Relationship Id="rId35" Type="http://schemas.openxmlformats.org/officeDocument/2006/relationships/hyperlink" Target="https://www.theguardian.com/artanddesign/gallery/2014/may/14/art-apocalypse-otto-dix-first-world-war-der-krieg-in-pictures" TargetMode="External"/><Relationship Id="rId36" Type="http://schemas.openxmlformats.org/officeDocument/2006/relationships/hyperlink" Target="https://americanart.si.edu/artwork/apocalypse-42-21944" TargetMode="External"/><Relationship Id="rId37" Type="http://schemas.openxmlformats.org/officeDocument/2006/relationships/hyperlink" Target="https://art.nelson-atkins.org/objects/19638/four-horsemen-of-the-apocalypse" TargetMode="External"/><Relationship Id="rId38" Type="http://schemas.openxmlformats.org/officeDocument/2006/relationships/hyperlink" Target="https://www.menyhei.com/projects/WB6O42?album_id=14910" TargetMode="External"/><Relationship Id="rId39" Type="http://schemas.openxmlformats.org/officeDocument/2006/relationships/hyperlink" Target="https://www.youtube.com/watch?v=SR6_J1IVvlg" TargetMode="External"/><Relationship Id="rId40" Type="http://schemas.openxmlformats.org/officeDocument/2006/relationships/hyperlink" Target="https://www.youtube.com/watch?v=-tPqTqpLG5M" TargetMode="External"/><Relationship Id="rId41" Type="http://schemas.openxmlformats.org/officeDocument/2006/relationships/hyperlink" Target="https://www.youtube.com/watch?v=4aJT2p2_pDk" TargetMode="External"/><Relationship Id="rId42" Type="http://schemas.openxmlformats.org/officeDocument/2006/relationships/hyperlink" Target="https://www.youtube.com/watch?v=Z0GFRcFm-a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End is Nearish</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