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93.5687255859375" w:firstLine="0"/>
        <w:jc w:val="righ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commentRangeStart w:id="0"/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Bradbury Group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21142578125" w:line="243.70219230651855" w:lineRule="auto"/>
        <w:ind w:left="833.1427001953125" w:right="739.8602294921875" w:firstLine="0"/>
        <w:jc w:val="center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CSS/HTML colour and Style Data for Integrations and Automations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80126953125" w:line="240" w:lineRule="auto"/>
        <w:ind w:left="4.0600585937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CSS Root Variables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801025390625" w:line="240" w:lineRule="auto"/>
        <w:ind w:left="12.359924316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:root {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9208984375" w:line="240" w:lineRule="auto"/>
        <w:ind w:left="114.57656860351562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/* Core Brand Colors */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41650390625" w:line="240" w:lineRule="auto"/>
        <w:ind w:left="133.0564880371093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--tbg-navy: #0c2940; /* Authority &amp; Headings */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9208984375" w:line="240" w:lineRule="auto"/>
        <w:ind w:left="133.0564880371093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--tbg-steel-teal: #3f6d67; /* Architecture &amp; Logic */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41650390625" w:line="240" w:lineRule="auto"/>
        <w:ind w:left="133.0564880371093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--tbg-rich-teal: #39918d; /* Innovation &amp; AI Tags */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98193359375" w:line="240" w:lineRule="auto"/>
        <w:ind w:left="133.0564880371093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--tbg-terracotta: #c57b4b; /* Human-Centric/Alerts */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98193359375" w:line="240" w:lineRule="auto"/>
        <w:ind w:left="133.0564880371093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--tbg-gold: #f8c51c; /* "Go" / Key Actions */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98193359375" w:line="240" w:lineRule="auto"/>
        <w:ind w:left="133.0564880371093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--tbg-background: #ffffff;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98193359375" w:line="240" w:lineRule="auto"/>
        <w:ind w:left="133.0564880371093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--tbg-ice-white: #f8fafc; /* Clean neutral for cards */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6197509765625" w:line="240" w:lineRule="auto"/>
        <w:ind w:left="114.57656860351562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/* Typography Standards */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98193359375" w:line="240" w:lineRule="auto"/>
        <w:ind w:left="133.0564880371093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--font-primary: 'Montserrat', sans-serif;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98193359375" w:line="240" w:lineRule="auto"/>
        <w:ind w:left="133.0564880371093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--font-body: 'Open Sans', sans-serif;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98193359375" w:line="240" w:lineRule="auto"/>
        <w:ind w:left="133.0564880371093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--font-display: 'Playfair Display', serif;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98193359375" w:line="240" w:lineRule="auto"/>
        <w:ind w:left="6.41998291015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5196533203125" w:line="240" w:lineRule="auto"/>
        <w:ind w:left="2.51998901367187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UI Components for Automations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80712890625" w:line="243.702392578125" w:lineRule="auto"/>
        <w:ind w:left="5.540008544921875" w:right="0" w:firstLine="3.7399291992187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building automation dashboards or integration notifications, use these styles to maintain your "Brand Voice."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4595947265625" w:line="240" w:lineRule="auto"/>
        <w:ind w:left="25.33996582031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"Action" Button (The "Universal Go")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98193359375" w:line="240" w:lineRule="auto"/>
        <w:ind w:left="24.019927978515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this for the final "Deploy AI" or "Sync Integration" steps.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997192382812" w:line="240" w:lineRule="auto"/>
        <w:ind w:left="10.8200073242187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997192382812" w:line="240" w:lineRule="auto"/>
        <w:ind w:left="12.359924316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.btn-action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536499023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background-color: var(--tbg-gold);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404296875" w:line="461.79697036743164" w:lineRule="auto"/>
        <w:ind w:left="123.8165283203125" w:right="3241.1517333984375" w:firstLine="5.939941406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color: var(--tbg-navy); /* High contrast for readability */ font-family: var(--font-primary);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126220703125" w:line="240" w:lineRule="auto"/>
        <w:ind w:left="123.81652832031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font-weight: 700;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404296875" w:line="240" w:lineRule="auto"/>
        <w:ind w:left="123.81652832031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text-transform: uppercase;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404296875" w:line="240" w:lineRule="auto"/>
        <w:ind w:left="140.536499023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letter-spacing: 1px;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404296875" w:line="240" w:lineRule="auto"/>
        <w:ind w:left="140.536499023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border: none;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41650390625" w:line="240" w:lineRule="auto"/>
        <w:ind w:left="140.536499023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padding: 12px 24px;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9208984375" w:line="461.79582595825195" w:lineRule="auto"/>
        <w:ind w:left="123.8165283203125" w:right="2312.7410888671875" w:firstLine="16.7199707031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border-radius: 4px; /* Slight roundness for a professional feel */ transition: background 0.3s ease;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1280517578125" w:line="240" w:lineRule="auto"/>
        <w:ind w:left="6.41998291015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6197509765625" w:line="240" w:lineRule="auto"/>
        <w:ind w:left="12.359924316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.btn-action:hover {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85986328125" w:line="461.8003177642822" w:lineRule="auto"/>
        <w:ind w:left="129.7564697265625" w:right="1776.97998046875" w:firstLine="10.78002929687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background-color: #e2b31a; /* Slightly deeper gold for interaction */ cursor: pointer;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1219482421875" w:line="240" w:lineRule="auto"/>
        <w:ind w:left="6.41998291015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6995849609375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Automation "Status" Cards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80712890625" w:line="240" w:lineRule="auto"/>
        <w:ind w:left="10.8200073242187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890380859375" w:line="240" w:lineRule="auto"/>
        <w:ind w:left="12.359924316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.card-integration {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410400390625" w:line="240" w:lineRule="auto"/>
        <w:ind w:left="140.536499023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background: var(--tbg-ice-white);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85986328125" w:line="240" w:lineRule="auto"/>
        <w:ind w:left="140.536499023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border-left: 5px solid var(--tbg-steel-teal);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410400390625" w:line="240" w:lineRule="auto"/>
        <w:ind w:left="140.536499023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padding: 20px;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890380859375" w:line="240" w:lineRule="auto"/>
        <w:ind w:left="123.81652832031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font-family: var(--font-body);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4119262695312" w:line="240" w:lineRule="auto"/>
        <w:ind w:left="129.7564697265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color: var(--tbg-navy);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536499023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box-shadow: 0 4px 6px rgba(12, 41, 64, 0.05);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9208984375" w:line="240" w:lineRule="auto"/>
        <w:ind w:left="6.41998291015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622802734375" w:line="240" w:lineRule="auto"/>
        <w:ind w:left="12.3599243164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.tag-ai-active {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9208984375" w:line="240" w:lineRule="auto"/>
        <w:ind w:left="140.536499023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background: var(--tbg-rich-teal);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9208984375" w:line="240" w:lineRule="auto"/>
        <w:ind w:left="129.7564697265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color: white;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41650390625" w:line="240" w:lineRule="auto"/>
        <w:ind w:left="140.536499023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padding: 4px 10px;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41650390625" w:line="240" w:lineRule="auto"/>
        <w:ind w:left="140.536499023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border-radius: 12px;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9208984375" w:line="240" w:lineRule="auto"/>
        <w:ind w:left="123.81652832031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font-size: 0.8rem;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85986328125" w:line="240" w:lineRule="auto"/>
        <w:ind w:left="123.81652832031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font-weight: 600;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410400390625" w:line="240" w:lineRule="auto"/>
        <w:ind w:left="6.41998291015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605224609375" w:line="240" w:lineRule="auto"/>
        <w:ind w:left="2.23999023437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Visualizing the "Learning Architecture" (HTML Structure)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7991943359375" w:line="243.7057399749756" w:lineRule="auto"/>
        <w:ind w:left="22.259979248046875" w:right="859.28466796875" w:hanging="12.980041503906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presenting an automation workflow to a reluctant leader, use a clean, modular structure.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419921875" w:line="240" w:lineRule="auto"/>
        <w:ind w:left="20.50003051757812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85986328125" w:line="240" w:lineRule="auto"/>
        <w:ind w:left="16.979980468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class="card-integration"&gt;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85986328125" w:line="461.8003177642822" w:lineRule="auto"/>
        <w:ind w:left="238.79302978515625" w:right="1902.962646484375" w:hanging="103.53652954101562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&lt;h3 style="color: var(--tbg-navy); font-family: var(--font-primary);"&gt; AI Training Integration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1219482421875" w:line="240" w:lineRule="auto"/>
        <w:ind w:left="135.25650024414062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&lt;/h3&gt;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829345703125" w:line="240" w:lineRule="auto"/>
        <w:ind w:left="135.25650024414062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&lt;p&gt;Status: &lt;span class="tag-ai-active"&gt;Processing Wisdom&lt;/span&gt;&lt;/p&gt;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6221923828125" w:line="240" w:lineRule="auto"/>
        <w:ind w:left="135.25650024414062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&lt;p style="font-style: italic; color: var(--tbg-terracotta);"&gt;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85986328125" w:line="461.79582595825195" w:lineRule="auto"/>
        <w:ind w:left="135.25650024414062" w:right="1361.680908203125" w:firstLine="117.396545410156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"Wait! This step requires human review to ensure cultural alignment." &lt;/p&gt;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3096618652344" w:line="240" w:lineRule="auto"/>
        <w:ind w:left="135.25650024414062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&lt;button class="btn-action"&gt;Approve &amp; Deploy&lt;/button&gt;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79980468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&lt;/div&gt;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5869140625" w:line="240" w:lineRule="auto"/>
        <w:ind w:left="12.3800659179687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274e1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274e13"/>
          <w:sz w:val="26"/>
          <w:szCs w:val="26"/>
          <w:u w:val="none"/>
          <w:shd w:fill="auto" w:val="clear"/>
          <w:vertAlign w:val="baseline"/>
          <w:rtl w:val="0"/>
        </w:rPr>
        <w:t xml:space="preserve">Guidelines for "Invisible" Automations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803466796875" w:line="243.702392578125" w:lineRule="auto"/>
        <w:ind w:left="381.3800048828125" w:right="22.54150390625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Loading States: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Instead of a generic "spinner," use a pulse effect in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Steel Teal (#3f6d67)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It feels more stable and intentional than a rapid, frantic animation.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Success Messages: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Avoid "Neon Green." Use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Rich Teal (#39918d)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with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Mustard Gold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checkmark. This feels like a "Consultancy Win" rather than a "Software Notification."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4443359375" w:line="243.7035369873047" w:lineRule="auto"/>
        <w:ind w:left="733.2400512695312" w:right="143.946533203125" w:hanging="351.8600463867187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Error States: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Don't use bright red. Use a deep version of your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Terracotta (#c57b4b)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It alerts the user without triggering the "Anxiety" response often associated with AI tech errors.</w:t>
      </w:r>
    </w:p>
    <w:sectPr>
      <w:pgSz w:h="15840" w:w="12240" w:orient="portrait"/>
      <w:pgMar w:bottom="1633.7782287597656" w:top="1429.759521484375" w:left="1437.760009765625" w:right="1455.42724609375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harika Sarkar" w:id="0" w:date="2026-04-13T18:37:53Z"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@smopuru@thebradburygroup.net 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Ready-to-review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smopuru@thebradburygroup.net_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