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sivp98wksk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30"/>
          <w:szCs w:val="30"/>
        </w:rPr>
      </w:pPr>
      <w:commentRangeStart w:id="0"/>
      <w:commentRangeStart w:id="1"/>
      <w:commentRangeStart w:id="2"/>
      <w:commentRangeStart w:id="3"/>
      <w:commentRangeStart w:id="4"/>
      <w:commentRangeStart w:id="5"/>
      <w:commentRangeStart w:id="6"/>
      <w:r w:rsidDel="00000000" w:rsidR="00000000" w:rsidRPr="00000000">
        <w:rPr>
          <w:b w:val="1"/>
          <w:bCs w:val="1"/>
          <w:sz w:val="30"/>
          <w:szCs w:val="30"/>
          <w:rtl w:val="0"/>
        </w:rPr>
        <w:t xml:space="preserve">Website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b w:val="1"/>
          <w:bCs w:val="1"/>
          <w:sz w:val="30"/>
          <w:szCs w:val="30"/>
          <w:rtl w:val="0"/>
        </w:rPr>
        <w:t xml:space="preserve"> Audit &amp; Fine-tune</w:t>
      </w:r>
    </w:p>
    <w:p w:rsidR="00000000" w:rsidDel="00000000" w:rsidP="00000000" w:rsidRDefault="00000000" w:rsidRPr="00000000" w14:paraId="00000003">
      <w:pPr>
        <w:jc w:val="center"/>
        <w:rPr>
          <w:b w:val="1"/>
          <w:bCs w:val="1"/>
          <w:sz w:val="30"/>
          <w:szCs w:val="30"/>
        </w:rPr>
      </w:pPr>
      <w:r w:rsidDel="00000000" w:rsidR="00000000" w:rsidRPr="00000000">
        <w:rPr>
          <w:rtl w:val="0"/>
        </w:rPr>
      </w:r>
    </w:p>
    <w:p w:rsidR="00000000" w:rsidDel="00000000" w:rsidP="00000000" w:rsidRDefault="00000000" w:rsidRPr="00000000" w14:paraId="00000004">
      <w:pPr>
        <w:pStyle w:val="Heading2"/>
        <w:keepNext w:val="0"/>
        <w:keepLines w:val="0"/>
        <w:spacing w:after="80" w:before="0" w:lineRule="auto"/>
        <w:rPr>
          <w:b w:val="1"/>
          <w:bCs w:val="1"/>
          <w:sz w:val="34"/>
          <w:szCs w:val="34"/>
        </w:rPr>
      </w:pPr>
      <w:bookmarkStart w:colFirst="0" w:colLast="0" w:name="_36amfjyzf0vt" w:id="1"/>
      <w:bookmarkEnd w:id="1"/>
      <w:r w:rsidDel="00000000" w:rsidR="00000000" w:rsidRPr="00000000">
        <w:rPr>
          <w:b w:val="1"/>
          <w:bCs w:val="1"/>
          <w:sz w:val="34"/>
          <w:szCs w:val="34"/>
          <w:rtl w:val="0"/>
        </w:rPr>
        <w:t xml:space="preserve">1. Structural Layout &amp; Conversion Funnel Overhaul</w:t>
      </w:r>
    </w:p>
    <w:p w:rsidR="00000000" w:rsidDel="00000000" w:rsidP="00000000" w:rsidRDefault="00000000" w:rsidRPr="00000000" w14:paraId="00000005">
      <w:pPr>
        <w:spacing w:after="240" w:lineRule="auto"/>
        <w:rPr>
          <w:b w:val="1"/>
          <w:bCs w:val="1"/>
        </w:rPr>
      </w:pPr>
      <w:r w:rsidDel="00000000" w:rsidR="00000000" w:rsidRPr="00000000">
        <w:rPr>
          <w:b w:val="1"/>
          <w:bCs w:val="1"/>
          <w:rtl w:val="0"/>
        </w:rPr>
        <w:t xml:space="preserve">The single-page architecture is currently crippling SEO because Google cannot rank anchor links for specific, high-intent terms.</w:t>
      </w:r>
    </w:p>
    <w:p w:rsidR="00000000" w:rsidDel="00000000" w:rsidP="00000000" w:rsidRDefault="00000000" w:rsidRPr="00000000" w14:paraId="00000006">
      <w:pPr>
        <w:rPr>
          <w:rFonts w:ascii="Roboto Mono" w:cs="Roboto Mono" w:eastAsia="Roboto Mono" w:hAnsi="Roboto Mono"/>
          <w:b w:val="1"/>
          <w:bCs w:val="1"/>
          <w:color w:val="188038"/>
        </w:rPr>
      </w:pPr>
      <w:r w:rsidDel="00000000" w:rsidR="00000000" w:rsidRPr="00000000">
        <w:rPr>
          <w:b w:val="1"/>
          <w:bCs w:val="1"/>
          <w:color w:val="188038"/>
          <w:rtl w:val="0"/>
        </w:rPr>
        <w:t xml:space="preserve"></w:t>
      </w:r>
      <w:r w:rsidDel="00000000" w:rsidR="00000000" w:rsidRPr="00000000">
        <w:rPr>
          <w:rFonts w:ascii="Roboto Mono" w:cs="Roboto Mono" w:eastAsia="Roboto Mono" w:hAnsi="Roboto Mono"/>
          <w:b w:val="1"/>
          <w:bCs w:val="1"/>
          <w:color w:val="188038"/>
          <w:rtl w:val="0"/>
        </w:rPr>
        <w:t xml:space="preserve">[Homepage: /] (High-level positioning &amp; trust signals)</w:t>
      </w:r>
    </w:p>
    <w:p w:rsidR="00000000" w:rsidDel="00000000" w:rsidP="00000000" w:rsidRDefault="00000000" w:rsidRPr="00000000" w14:paraId="00000007">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w:t>
      </w:r>
    </w:p>
    <w:p w:rsidR="00000000" w:rsidDel="00000000" w:rsidP="00000000" w:rsidRDefault="00000000" w:rsidRPr="00000000" w14:paraId="00000008">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[Services: /training/] ──► Target: "AI training for L&amp;D teams"</w:t>
      </w:r>
    </w:p>
    <w:p w:rsidR="00000000" w:rsidDel="00000000" w:rsidP="00000000" w:rsidRDefault="00000000" w:rsidRPr="00000000" w14:paraId="00000009">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[Services: /consulting/] ─► Target: "AI strategy for enterprise leaders"</w:t>
      </w:r>
    </w:p>
    <w:p w:rsidR="00000000" w:rsidDel="00000000" w:rsidP="00000000" w:rsidRDefault="00000000" w:rsidRPr="00000000" w14:paraId="0000000A">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[Services: /speaking/] ───► Target: "AI keynote speakers L&amp;D"</w:t>
      </w:r>
    </w:p>
    <w:p w:rsidR="00000000" w:rsidDel="00000000" w:rsidP="00000000" w:rsidRDefault="00000000" w:rsidRPr="00000000" w14:paraId="0000000B">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[Service: /solomon-engine/] (Keep existing setup)</w:t>
      </w:r>
    </w:p>
    <w:p w:rsidR="00000000" w:rsidDel="00000000" w:rsidP="00000000" w:rsidRDefault="00000000" w:rsidRPr="00000000" w14:paraId="0000000C">
      <w:pPr>
        <w:rPr>
          <w:rFonts w:ascii="Roboto Mono" w:cs="Roboto Mono" w:eastAsia="Roboto Mono" w:hAnsi="Roboto Mono"/>
          <w:b w:val="1"/>
          <w:bCs w:val="1"/>
          <w:color w:val="188038"/>
        </w:rPr>
      </w:pPr>
      <w:r w:rsidDel="00000000" w:rsidR="00000000" w:rsidRPr="00000000">
        <w:rPr>
          <w:rFonts w:ascii="Arial Unicode MS" w:cs="Arial Unicode MS" w:eastAsia="Arial Unicode MS" w:hAnsi="Arial Unicode MS"/>
          <w:b w:val="1"/>
          <w:bCs w:val="1"/>
          <w:color w:val="188038"/>
          <w:rtl w:val="0"/>
        </w:rPr>
        <w:t xml:space="preserve">   └──► [Blog: /blog/] (Nurture engine)</w:t>
      </w:r>
    </w:p>
    <w:p w:rsidR="00000000" w:rsidDel="00000000" w:rsidP="00000000" w:rsidRDefault="00000000" w:rsidRPr="00000000" w14:paraId="0000000D">
      <w:pPr>
        <w:pStyle w:val="Heading3"/>
        <w:keepNext w:val="0"/>
        <w:keepLines w:val="0"/>
        <w:spacing w:before="0" w:lineRule="auto"/>
        <w:rPr>
          <w:b w:val="1"/>
          <w:bCs w:val="1"/>
          <w:color w:val="000000"/>
          <w:sz w:val="26"/>
          <w:szCs w:val="26"/>
        </w:rPr>
      </w:pPr>
      <w:bookmarkStart w:colFirst="0" w:colLast="0" w:name="_z4rr6r23wk6" w:id="2"/>
      <w:bookmarkEnd w:id="2"/>
      <w:r w:rsidDel="00000000" w:rsidR="00000000" w:rsidRPr="00000000">
        <w:rPr>
          <w:b w:val="1"/>
          <w:bCs w:val="1"/>
          <w:color w:val="188038"/>
          <w:sz w:val="22"/>
          <w:szCs w:val="22"/>
          <w:rtl w:val="0"/>
        </w:rPr>
        <w:t xml:space="preserve"></w:t>
      </w:r>
      <w:r w:rsidDel="00000000" w:rsidR="00000000" w:rsidRPr="00000000">
        <w:rPr>
          <w:b w:val="1"/>
          <w:bCs w:val="1"/>
          <w:color w:val="000000"/>
          <w:sz w:val="26"/>
          <w:szCs w:val="26"/>
          <w:rtl w:val="0"/>
        </w:rPr>
        <w:t xml:space="preserve">The Section-by-Section Homepage Flow</w:t>
      </w:r>
    </w:p>
    <w:p w:rsidR="00000000" w:rsidDel="00000000" w:rsidP="00000000" w:rsidRDefault="00000000" w:rsidRPr="00000000" w14:paraId="0000000E">
      <w:pPr>
        <w:numPr>
          <w:ilvl w:val="0"/>
          <w:numId w:val="4"/>
        </w:numPr>
        <w:spacing w:after="0" w:afterAutospacing="0" w:lineRule="auto"/>
        <w:ind w:left="720" w:hanging="360"/>
        <w:rPr>
          <w:b w:val="1"/>
          <w:bCs w:val="1"/>
        </w:rPr>
      </w:pPr>
      <w:r w:rsidDel="00000000" w:rsidR="00000000" w:rsidRPr="00000000">
        <w:rPr>
          <w:b w:val="1"/>
          <w:bCs w:val="1"/>
          <w:rtl w:val="0"/>
        </w:rPr>
        <w:t xml:space="preserve">The Hero Viewport: Retain the highly distinctive headline: </w:t>
      </w:r>
      <w:r w:rsidDel="00000000" w:rsidR="00000000" w:rsidRPr="00000000">
        <w:rPr>
          <w:b w:val="1"/>
          <w:bCs w:val="1"/>
          <w:i w:val="1"/>
          <w:iCs w:val="1"/>
          <w:rtl w:val="0"/>
        </w:rPr>
        <w:t xml:space="preserve">"Stop Implementing AI Tools. Start Architecting Human Performance."</w:t>
      </w:r>
      <w:r w:rsidDel="00000000" w:rsidR="00000000" w:rsidRPr="00000000">
        <w:rPr>
          <w:b w:val="1"/>
          <w:bCs w:val="1"/>
          <w:rtl w:val="0"/>
        </w:rPr>
        <w:t xml:space="preserve">.</w:t>
      </w:r>
    </w:p>
    <w:p w:rsidR="00000000" w:rsidDel="00000000" w:rsidP="00000000" w:rsidRDefault="00000000" w:rsidRPr="00000000" w14:paraId="0000000F">
      <w:pPr>
        <w:numPr>
          <w:ilvl w:val="1"/>
          <w:numId w:val="4"/>
        </w:numPr>
        <w:spacing w:after="0" w:afterAutospacing="0" w:lineRule="auto"/>
        <w:ind w:left="1440" w:hanging="360"/>
        <w:rPr>
          <w:b w:val="1"/>
          <w:bCs w:val="1"/>
        </w:rPr>
      </w:pPr>
      <w:r w:rsidDel="00000000" w:rsidR="00000000" w:rsidRPr="00000000">
        <w:rPr>
          <w:b w:val="1"/>
          <w:bCs w:val="1"/>
          <w:i w:val="1"/>
          <w:iCs w:val="1"/>
          <w:rtl w:val="0"/>
        </w:rPr>
        <w:t xml:space="preserve">The Fix:</w:t>
      </w:r>
      <w:r w:rsidDel="00000000" w:rsidR="00000000" w:rsidRPr="00000000">
        <w:rPr>
          <w:b w:val="1"/>
          <w:bCs w:val="1"/>
          <w:rtl w:val="0"/>
        </w:rPr>
        <w:t xml:space="preserve"> Immediately fix the critical conversion leak where clicking "Discover Your AI Readiness" boots visitors to an external ElevenLabs link. Embed the ElevenLabs agent directly as an on-site, inline interactive chat widget or modal.</w:t>
      </w:r>
    </w:p>
    <w:p w:rsidR="00000000" w:rsidDel="00000000" w:rsidP="00000000" w:rsidRDefault="00000000" w:rsidRPr="00000000" w14:paraId="00000010">
      <w:pPr>
        <w:numPr>
          <w:ilvl w:val="0"/>
          <w:numId w:val="4"/>
        </w:numPr>
        <w:spacing w:after="0" w:afterAutospacing="0" w:lineRule="auto"/>
        <w:ind w:left="720" w:hanging="360"/>
        <w:rPr>
          <w:b w:val="1"/>
          <w:bCs w:val="1"/>
        </w:rPr>
      </w:pPr>
      <w:r w:rsidDel="00000000" w:rsidR="00000000" w:rsidRPr="00000000">
        <w:rPr>
          <w:b w:val="1"/>
          <w:bCs w:val="1"/>
          <w:rtl w:val="0"/>
        </w:rPr>
        <w:t xml:space="preserve">The Identified Social Proof Strip: Display the enterprise partner logos (Microsoft, SAP, Coursera, SweetRush, PCCI, ) prominently with visible text captions or hover states beneath them.</w:t>
      </w:r>
    </w:p>
    <w:p w:rsidR="00000000" w:rsidDel="00000000" w:rsidP="00000000" w:rsidRDefault="00000000" w:rsidRPr="00000000" w14:paraId="00000011">
      <w:pPr>
        <w:numPr>
          <w:ilvl w:val="0"/>
          <w:numId w:val="4"/>
        </w:numPr>
        <w:spacing w:after="0" w:afterAutospacing="0" w:lineRule="auto"/>
        <w:ind w:left="720" w:hanging="360"/>
        <w:rPr>
          <w:b w:val="1"/>
          <w:bCs w:val="1"/>
        </w:rPr>
      </w:pPr>
      <w:r w:rsidDel="00000000" w:rsidR="00000000" w:rsidRPr="00000000">
        <w:rPr>
          <w:b w:val="1"/>
          <w:bCs w:val="1"/>
          <w:rtl w:val="0"/>
        </w:rPr>
        <w:t xml:space="preserve">The "Three Brutal Realities" (Pain Points): Keep this psychologically precise section to ground emotional momentum and validate target anxieties.</w:t>
      </w:r>
    </w:p>
    <w:p w:rsidR="00000000" w:rsidDel="00000000" w:rsidP="00000000" w:rsidRDefault="00000000" w:rsidRPr="00000000" w14:paraId="00000012">
      <w:pPr>
        <w:numPr>
          <w:ilvl w:val="0"/>
          <w:numId w:val="4"/>
        </w:numPr>
        <w:spacing w:after="0" w:afterAutospacing="0" w:lineRule="auto"/>
        <w:ind w:left="720" w:hanging="360"/>
        <w:rPr>
          <w:b w:val="1"/>
          <w:bCs w:val="1"/>
        </w:rPr>
      </w:pPr>
      <w:commentRangeStart w:id="7"/>
      <w:r w:rsidDel="00000000" w:rsidR="00000000" w:rsidRPr="00000000">
        <w:rPr>
          <w:b w:val="1"/>
          <w:bCs w:val="1"/>
          <w:rtl w:val="0"/>
        </w:rPr>
        <w:t xml:space="preserve">Service Matrix Blocks:</w:t>
      </w:r>
      <w:commentRangeEnd w:id="7"/>
      <w:r w:rsidDel="00000000" w:rsidR="00000000" w:rsidRPr="00000000">
        <w:commentReference w:id="7"/>
      </w:r>
      <w:r w:rsidDel="00000000" w:rsidR="00000000" w:rsidRPr="00000000">
        <w:rPr>
          <w:b w:val="1"/>
          <w:bCs w:val="1"/>
          <w:rtl w:val="0"/>
        </w:rPr>
        <w:t xml:space="preserve"> Briefly preview the 3 core pillars (Training, Speaking, Consulting). Instead of anchor links, use cards that lead directly to their dedicated service URLs.</w:t>
      </w:r>
    </w:p>
    <w:p w:rsidR="00000000" w:rsidDel="00000000" w:rsidP="00000000" w:rsidRDefault="00000000" w:rsidRPr="00000000" w14:paraId="00000013">
      <w:pPr>
        <w:numPr>
          <w:ilvl w:val="0"/>
          <w:numId w:val="4"/>
        </w:numPr>
        <w:spacing w:after="0" w:afterAutospacing="0" w:lineRule="auto"/>
        <w:ind w:left="720" w:hanging="360"/>
        <w:rPr>
          <w:b w:val="1"/>
          <w:bCs w:val="1"/>
        </w:rPr>
      </w:pPr>
      <w:commentRangeStart w:id="8"/>
      <w:commentRangeStart w:id="9"/>
      <w:commentRangeStart w:id="10"/>
      <w:r w:rsidDel="00000000" w:rsidR="00000000" w:rsidRPr="00000000">
        <w:rPr>
          <w:b w:val="1"/>
          <w:bCs w:val="1"/>
          <w:rtl w:val="0"/>
        </w:rPr>
        <w:t xml:space="preserve">Sourced Proof Points:</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r w:rsidDel="00000000" w:rsidR="00000000" w:rsidRPr="00000000">
        <w:rPr>
          <w:b w:val="1"/>
          <w:bCs w:val="1"/>
          <w:rtl w:val="0"/>
        </w:rPr>
        <w:t xml:space="preserve"> Feature the efficiency statistics (e.g., "40% reduction in course development time") but anchor them with footnotes citing the client cohort matrix or external industry sources to build bulletproof credibility with analytical C-suite buyers.</w:t>
      </w:r>
    </w:p>
    <w:p w:rsidR="00000000" w:rsidDel="00000000" w:rsidP="00000000" w:rsidRDefault="00000000" w:rsidRPr="00000000" w14:paraId="00000014">
      <w:pPr>
        <w:numPr>
          <w:ilvl w:val="0"/>
          <w:numId w:val="4"/>
        </w:numPr>
        <w:spacing w:after="0" w:afterAutospacing="0" w:lineRule="auto"/>
        <w:ind w:left="720" w:hanging="360"/>
        <w:rPr>
          <w:b w:val="1"/>
          <w:bCs w:val="1"/>
        </w:rPr>
      </w:pPr>
      <w:commentRangeStart w:id="11"/>
      <w:r w:rsidDel="00000000" w:rsidR="00000000" w:rsidRPr="00000000">
        <w:rPr>
          <w:b w:val="1"/>
          <w:bCs w:val="1"/>
          <w:rtl w:val="0"/>
        </w:rPr>
        <w:t xml:space="preserve">The High-Authority Testimonials:</w:t>
      </w:r>
      <w:commentRangeEnd w:id="11"/>
      <w:r w:rsidDel="00000000" w:rsidR="00000000" w:rsidRPr="00000000">
        <w:commentReference w:id="11"/>
      </w:r>
      <w:r w:rsidDel="00000000" w:rsidR="00000000" w:rsidRPr="00000000">
        <w:rPr>
          <w:b w:val="1"/>
          <w:bCs w:val="1"/>
          <w:rtl w:val="0"/>
        </w:rPr>
        <w:t xml:space="preserve"> Position a primary CTA right after the named testimonials from Korn Ferry and Purdue Global while user trust is at its highest point.</w:t>
      </w:r>
    </w:p>
    <w:p w:rsidR="00000000" w:rsidDel="00000000" w:rsidP="00000000" w:rsidRDefault="00000000" w:rsidRPr="00000000" w14:paraId="00000015">
      <w:pPr>
        <w:numPr>
          <w:ilvl w:val="0"/>
          <w:numId w:val="4"/>
        </w:numPr>
        <w:spacing w:after="240" w:lineRule="auto"/>
        <w:ind w:left="720" w:hanging="360"/>
        <w:rPr>
          <w:b w:val="1"/>
          <w:bCs w:val="1"/>
        </w:rPr>
      </w:pPr>
      <w:r w:rsidDel="00000000" w:rsidR="00000000" w:rsidRPr="00000000">
        <w:rPr>
          <w:b w:val="1"/>
          <w:bCs w:val="1"/>
          <w:rtl w:val="0"/>
        </w:rPr>
        <w:t xml:space="preserve">Low-Friction Action Station ("Book A Call Today"): Toss out the generic contact form that forces corporate clients to wait 24–72 hours. Embed an interactive calendar scheduling tool (like</w:t>
      </w:r>
      <w:commentRangeStart w:id="12"/>
      <w:commentRangeStart w:id="13"/>
      <w:r w:rsidDel="00000000" w:rsidR="00000000" w:rsidRPr="00000000">
        <w:rPr>
          <w:b w:val="1"/>
          <w:bCs w:val="1"/>
          <w:rtl w:val="0"/>
        </w:rPr>
        <w:t xml:space="preserve"> Cal.com</w:t>
      </w:r>
      <w:commentRangeEnd w:id="12"/>
      <w:r w:rsidDel="00000000" w:rsidR="00000000" w:rsidRPr="00000000">
        <w:commentReference w:id="12"/>
      </w:r>
      <w:commentRangeEnd w:id="13"/>
      <w:r w:rsidDel="00000000" w:rsidR="00000000" w:rsidRPr="00000000">
        <w:commentReference w:id="13"/>
      </w:r>
      <w:r w:rsidDel="00000000" w:rsidR="00000000" w:rsidRPr="00000000">
        <w:rPr>
          <w:b w:val="1"/>
          <w:bCs w:val="1"/>
          <w:rtl w:val="0"/>
        </w:rPr>
        <w:t xml:space="preserve"> or Calendly) right into the page layout for a seamless, 10-second conversion moment.</w:t>
      </w:r>
    </w:p>
    <w:p w:rsidR="00000000" w:rsidDel="00000000" w:rsidP="00000000" w:rsidRDefault="00000000" w:rsidRPr="00000000" w14:paraId="00000016">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before="0" w:lineRule="auto"/>
        <w:rPr>
          <w:b w:val="1"/>
          <w:bCs w:val="1"/>
          <w:sz w:val="34"/>
          <w:szCs w:val="34"/>
        </w:rPr>
      </w:pPr>
      <w:bookmarkStart w:colFirst="0" w:colLast="0" w:name="_njqbowr0qpk4" w:id="3"/>
      <w:bookmarkEnd w:id="3"/>
      <w:r w:rsidDel="00000000" w:rsidR="00000000" w:rsidRPr="00000000">
        <w:rPr>
          <w:b w:val="1"/>
          <w:bCs w:val="1"/>
          <w:sz w:val="34"/>
          <w:szCs w:val="34"/>
          <w:rtl w:val="0"/>
        </w:rPr>
        <w:t xml:space="preserve">2. Strategic SEO Positioning</w:t>
      </w:r>
    </w:p>
    <w:p w:rsidR="00000000" w:rsidDel="00000000" w:rsidP="00000000" w:rsidRDefault="00000000" w:rsidRPr="00000000" w14:paraId="00000018">
      <w:pPr>
        <w:spacing w:after="240" w:lineRule="auto"/>
        <w:rPr>
          <w:b w:val="1"/>
          <w:bCs w:val="1"/>
        </w:rPr>
      </w:pPr>
      <w:r w:rsidDel="00000000" w:rsidR="00000000" w:rsidRPr="00000000">
        <w:rPr>
          <w:b w:val="1"/>
          <w:bCs w:val="1"/>
          <w:rtl w:val="0"/>
        </w:rPr>
        <w:t xml:space="preserve">To separate your brand from the construction company in Google's eyes, you must build explicit "Contextual Topical Authority".</w:t>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nu2laj2yh2rp" w:id="4"/>
      <w:bookmarkEnd w:id="4"/>
      <w:r w:rsidDel="00000000" w:rsidR="00000000" w:rsidRPr="00000000">
        <w:rPr>
          <w:b w:val="1"/>
          <w:bCs w:val="1"/>
          <w:color w:val="000000"/>
          <w:sz w:val="26"/>
          <w:szCs w:val="26"/>
          <w:rtl w:val="0"/>
        </w:rPr>
        <w:t xml:space="preserve">Strategic Tag Injectors</w:t>
      </w:r>
    </w:p>
    <w:p w:rsidR="00000000" w:rsidDel="00000000" w:rsidP="00000000" w:rsidRDefault="00000000" w:rsidRPr="00000000" w14:paraId="0000001A">
      <w:pPr>
        <w:numPr>
          <w:ilvl w:val="0"/>
          <w:numId w:val="2"/>
        </w:numPr>
        <w:spacing w:after="0" w:afterAutospacing="0" w:lineRule="auto"/>
        <w:ind w:left="720" w:hanging="360"/>
        <w:rPr>
          <w:b w:val="1"/>
          <w:bCs w:val="1"/>
        </w:rPr>
      </w:pPr>
      <w:r w:rsidDel="00000000" w:rsidR="00000000" w:rsidRPr="00000000">
        <w:rPr>
          <w:b w:val="1"/>
          <w:bCs w:val="1"/>
          <w:rtl w:val="0"/>
        </w:rPr>
        <w:t xml:space="preserve">Homepage Meta Title: </w:t>
      </w:r>
      <w:r w:rsidDel="00000000" w:rsidR="00000000" w:rsidRPr="00000000">
        <w:rPr>
          <w:b w:val="1"/>
          <w:bCs w:val="1"/>
          <w:color w:val="188038"/>
          <w:rtl w:val="0"/>
        </w:rPr>
        <w:t xml:space="preserve">The Bradbury Group | AI Strategy &amp; Training </w:t>
      </w:r>
      <w:commentRangeStart w:id="14"/>
      <w:commentRangeStart w:id="15"/>
      <w:r w:rsidDel="00000000" w:rsidR="00000000" w:rsidRPr="00000000">
        <w:rPr>
          <w:b w:val="1"/>
          <w:bCs w:val="1"/>
          <w:strike w:val="1"/>
          <w:color w:val="188038"/>
          <w:rtl w:val="0"/>
        </w:rPr>
        <w:t xml:space="preserve">for L&amp;D Teams</w:t>
      </w:r>
      <w:r w:rsidDel="00000000" w:rsidR="00000000" w:rsidRPr="00000000">
        <w:rPr>
          <w:b w:val="1"/>
          <w:bCs w:val="1"/>
          <w:strike w:val="1"/>
          <w:rtl w:val="0"/>
        </w:rPr>
        <w:t xml:space="preserve"> </w:t>
      </w:r>
      <w:commentRangeEnd w:id="14"/>
      <w:r w:rsidDel="00000000" w:rsidR="00000000" w:rsidRPr="00000000">
        <w:commentReference w:id="14"/>
      </w:r>
      <w:commentRangeEnd w:id="15"/>
      <w:r w:rsidDel="00000000" w:rsidR="00000000" w:rsidRPr="00000000">
        <w:commentReference w:id="15"/>
      </w:r>
      <w:r w:rsidDel="00000000" w:rsidR="00000000" w:rsidRPr="00000000">
        <w:rPr>
          <w:b w:val="1"/>
          <w:bCs w:val="1"/>
          <w:rtl w:val="0"/>
        </w:rPr>
        <w:t xml:space="preserve">(Clear, industry-specific category categorization).</w:t>
      </w:r>
    </w:p>
    <w:p w:rsidR="00000000" w:rsidDel="00000000" w:rsidP="00000000" w:rsidRDefault="00000000" w:rsidRPr="00000000" w14:paraId="0000001B">
      <w:pPr>
        <w:numPr>
          <w:ilvl w:val="0"/>
          <w:numId w:val="2"/>
        </w:numPr>
        <w:spacing w:after="0" w:afterAutospacing="0" w:lineRule="auto"/>
        <w:ind w:left="720" w:hanging="360"/>
        <w:rPr>
          <w:b w:val="1"/>
          <w:bCs w:val="1"/>
        </w:rPr>
      </w:pPr>
      <w:r w:rsidDel="00000000" w:rsidR="00000000" w:rsidRPr="00000000">
        <w:rPr>
          <w:b w:val="1"/>
          <w:bCs w:val="1"/>
          <w:rtl w:val="0"/>
        </w:rPr>
        <w:t xml:space="preserve">Homepage Meta Description: </w:t>
      </w:r>
      <w:r w:rsidDel="00000000" w:rsidR="00000000" w:rsidRPr="00000000">
        <w:rPr>
          <w:b w:val="1"/>
          <w:bCs w:val="1"/>
          <w:color w:val="188038"/>
          <w:rtl w:val="0"/>
        </w:rPr>
        <w:t xml:space="preserve">Stop just implementing AI tools. The Bradbury Group architects human-centered performance around AI, empowering L&amp;D leaders to build resilient, AI-powered systems.</w:t>
      </w:r>
      <w:r w:rsidDel="00000000" w:rsidR="00000000" w:rsidRPr="00000000">
        <w:rPr>
          <w:b w:val="1"/>
          <w:bCs w:val="1"/>
          <w:rtl w:val="0"/>
        </w:rPr>
        <w:t xml:space="preserve">.</w:t>
      </w:r>
    </w:p>
    <w:p w:rsidR="00000000" w:rsidDel="00000000" w:rsidP="00000000" w:rsidRDefault="00000000" w:rsidRPr="00000000" w14:paraId="0000001C">
      <w:pPr>
        <w:numPr>
          <w:ilvl w:val="0"/>
          <w:numId w:val="2"/>
        </w:numPr>
        <w:spacing w:after="0" w:afterAutospacing="0" w:lineRule="auto"/>
        <w:ind w:left="720" w:hanging="360"/>
        <w:rPr>
          <w:b w:val="1"/>
          <w:bCs w:val="1"/>
        </w:rPr>
      </w:pPr>
      <w:r w:rsidDel="00000000" w:rsidR="00000000" w:rsidRPr="00000000">
        <w:rPr>
          <w:b w:val="1"/>
          <w:bCs w:val="1"/>
          <w:rtl w:val="0"/>
        </w:rPr>
        <w:t xml:space="preserve">Header Code Cleanup (H1/H2): Fix the technical error where the desktop and mobile experiences are cloned twice in the backend code (confusing crawler keyword signals). Move to a singular fluid responsive layout using one clean H1 hierarchy:</w:t>
      </w:r>
    </w:p>
    <w:p w:rsidR="00000000" w:rsidDel="00000000" w:rsidP="00000000" w:rsidRDefault="00000000" w:rsidRPr="00000000" w14:paraId="0000001D">
      <w:pPr>
        <w:numPr>
          <w:ilvl w:val="1"/>
          <w:numId w:val="2"/>
        </w:numPr>
        <w:spacing w:after="0" w:afterAutospacing="0" w:lineRule="auto"/>
        <w:ind w:left="1440" w:hanging="360"/>
        <w:rPr>
          <w:b w:val="1"/>
          <w:bCs w:val="1"/>
        </w:rPr>
      </w:pPr>
      <w:r w:rsidDel="00000000" w:rsidR="00000000" w:rsidRPr="00000000">
        <w:rPr>
          <w:b w:val="1"/>
          <w:bCs w:val="1"/>
          <w:rtl w:val="0"/>
        </w:rPr>
        <w:t xml:space="preserve">H1: </w:t>
      </w:r>
      <w:commentRangeStart w:id="16"/>
      <w:commentRangeStart w:id="17"/>
      <w:commentRangeStart w:id="18"/>
      <w:r w:rsidDel="00000000" w:rsidR="00000000" w:rsidRPr="00000000">
        <w:rPr>
          <w:b w:val="1"/>
          <w:bCs w:val="1"/>
          <w:color w:val="188038"/>
          <w:rtl w:val="0"/>
        </w:rPr>
        <w:t xml:space="preserve">Architecting</w:t>
      </w:r>
      <w:commentRangeEnd w:id="16"/>
      <w:r w:rsidDel="00000000" w:rsidR="00000000" w:rsidRPr="00000000">
        <w:commentReference w:id="16"/>
      </w:r>
      <w:commentRangeEnd w:id="17"/>
      <w:r w:rsidDel="00000000" w:rsidR="00000000" w:rsidRPr="00000000">
        <w:commentReference w:id="17"/>
      </w:r>
      <w:commentRangeEnd w:id="18"/>
      <w:r w:rsidDel="00000000" w:rsidR="00000000" w:rsidRPr="00000000">
        <w:commentReference w:id="18"/>
      </w:r>
      <w:r w:rsidDel="00000000" w:rsidR="00000000" w:rsidRPr="00000000">
        <w:rPr>
          <w:b w:val="1"/>
          <w:bCs w:val="1"/>
          <w:color w:val="188038"/>
          <w:rtl w:val="0"/>
        </w:rPr>
        <w:t xml:space="preserve"> Human Performance in the Age of AI</w:t>
      </w:r>
      <w:r w:rsidDel="00000000" w:rsidR="00000000" w:rsidRPr="00000000">
        <w:rPr>
          <w:b w:val="1"/>
          <w:bCs w:val="1"/>
          <w:rtl w:val="0"/>
        </w:rPr>
        <w:t xml:space="preserve">.</w:t>
      </w:r>
    </w:p>
    <w:p w:rsidR="00000000" w:rsidDel="00000000" w:rsidP="00000000" w:rsidRDefault="00000000" w:rsidRPr="00000000" w14:paraId="0000001E">
      <w:pPr>
        <w:numPr>
          <w:ilvl w:val="1"/>
          <w:numId w:val="2"/>
        </w:numPr>
        <w:spacing w:after="240" w:lineRule="auto"/>
        <w:ind w:left="1440" w:hanging="360"/>
        <w:rPr>
          <w:b w:val="1"/>
          <w:bCs w:val="1"/>
        </w:rPr>
      </w:pPr>
      <w:r w:rsidDel="00000000" w:rsidR="00000000" w:rsidRPr="00000000">
        <w:rPr>
          <w:b w:val="1"/>
          <w:bCs w:val="1"/>
          <w:rtl w:val="0"/>
        </w:rPr>
        <w:t xml:space="preserve">H2: </w:t>
      </w:r>
      <w:r w:rsidDel="00000000" w:rsidR="00000000" w:rsidRPr="00000000">
        <w:rPr>
          <w:b w:val="1"/>
          <w:bCs w:val="1"/>
          <w:color w:val="188038"/>
          <w:rtl w:val="0"/>
        </w:rPr>
        <w:t xml:space="preserve">Specialized AI Strategy and Training for Forward-Thinking Organizations</w:t>
      </w:r>
      <w:r w:rsidDel="00000000" w:rsidR="00000000" w:rsidRPr="00000000">
        <w:rPr>
          <w:b w:val="1"/>
          <w:bCs w:val="1"/>
          <w:rtl w:val="0"/>
        </w:rPr>
        <w:t xml:space="preserve">.</w:t>
      </w:r>
    </w:p>
    <w:p w:rsidR="00000000" w:rsidDel="00000000" w:rsidP="00000000" w:rsidRDefault="00000000" w:rsidRPr="00000000" w14:paraId="0000001F">
      <w:pPr>
        <w:pStyle w:val="Heading3"/>
        <w:keepNext w:val="0"/>
        <w:keepLines w:val="0"/>
        <w:spacing w:before="0" w:lineRule="auto"/>
        <w:rPr>
          <w:b w:val="1"/>
          <w:bCs w:val="1"/>
          <w:color w:val="000000"/>
          <w:sz w:val="26"/>
          <w:szCs w:val="26"/>
        </w:rPr>
      </w:pPr>
      <w:bookmarkStart w:colFirst="0" w:colLast="0" w:name="_boylh94s99rm" w:id="5"/>
      <w:bookmarkEnd w:id="5"/>
      <w:r w:rsidDel="00000000" w:rsidR="00000000" w:rsidRPr="00000000">
        <w:rPr>
          <w:b w:val="1"/>
          <w:bCs w:val="1"/>
          <w:color w:val="000000"/>
          <w:sz w:val="26"/>
          <w:szCs w:val="26"/>
          <w:rtl w:val="0"/>
        </w:rPr>
        <w:t xml:space="preserve">Rich Snippets &amp; Meta Assets</w:t>
      </w:r>
    </w:p>
    <w:p w:rsidR="00000000" w:rsidDel="00000000" w:rsidP="00000000" w:rsidRDefault="00000000" w:rsidRPr="00000000" w14:paraId="00000020">
      <w:pPr>
        <w:numPr>
          <w:ilvl w:val="0"/>
          <w:numId w:val="9"/>
        </w:numPr>
        <w:spacing w:after="0" w:afterAutospacing="0" w:lineRule="auto"/>
        <w:ind w:left="720" w:hanging="360"/>
        <w:rPr>
          <w:b w:val="1"/>
          <w:bCs w:val="1"/>
        </w:rPr>
      </w:pPr>
      <w:r w:rsidDel="00000000" w:rsidR="00000000" w:rsidRPr="00000000">
        <w:rPr>
          <w:b w:val="1"/>
          <w:bCs w:val="1"/>
          <w:rtl w:val="0"/>
        </w:rPr>
        <w:t xml:space="preserve">Structured Schema Data: Deploy JSON-LD </w:t>
      </w:r>
      <w:commentRangeStart w:id="19"/>
      <w:r w:rsidDel="00000000" w:rsidR="00000000" w:rsidRPr="00000000">
        <w:rPr>
          <w:b w:val="1"/>
          <w:bCs w:val="1"/>
          <w:color w:val="188038"/>
          <w:rtl w:val="0"/>
        </w:rPr>
        <w:t xml:space="preserve">FAQPage</w:t>
      </w:r>
      <w:commentRangeEnd w:id="19"/>
      <w:r w:rsidDel="00000000" w:rsidR="00000000" w:rsidRPr="00000000">
        <w:commentReference w:id="19"/>
      </w:r>
      <w:r w:rsidDel="00000000" w:rsidR="00000000" w:rsidRPr="00000000">
        <w:rPr>
          <w:b w:val="1"/>
          <w:bCs w:val="1"/>
          <w:rtl w:val="0"/>
        </w:rPr>
        <w:t xml:space="preserve"> schema on your FAQ block to immediately command real estate in Google Search with organic accordions. Inject </w:t>
      </w:r>
      <w:r w:rsidDel="00000000" w:rsidR="00000000" w:rsidRPr="00000000">
        <w:rPr>
          <w:b w:val="1"/>
          <w:bCs w:val="1"/>
          <w:color w:val="188038"/>
          <w:rtl w:val="0"/>
        </w:rPr>
        <w:t xml:space="preserve">Service</w:t>
      </w:r>
      <w:r w:rsidDel="00000000" w:rsidR="00000000" w:rsidRPr="00000000">
        <w:rPr>
          <w:b w:val="1"/>
          <w:bCs w:val="1"/>
          <w:rtl w:val="0"/>
        </w:rPr>
        <w:t xml:space="preserve"> schema onto your new service URLs and </w:t>
      </w:r>
      <w:r w:rsidDel="00000000" w:rsidR="00000000" w:rsidRPr="00000000">
        <w:rPr>
          <w:b w:val="1"/>
          <w:bCs w:val="1"/>
          <w:color w:val="188038"/>
          <w:rtl w:val="0"/>
        </w:rPr>
        <w:t xml:space="preserve">Person</w:t>
      </w:r>
      <w:r w:rsidDel="00000000" w:rsidR="00000000" w:rsidRPr="00000000">
        <w:rPr>
          <w:b w:val="1"/>
          <w:bCs w:val="1"/>
          <w:rtl w:val="0"/>
        </w:rPr>
        <w:t xml:space="preserve"> schema onto the founder bio page.</w:t>
      </w:r>
    </w:p>
    <w:p w:rsidR="00000000" w:rsidDel="00000000" w:rsidP="00000000" w:rsidRDefault="00000000" w:rsidRPr="00000000" w14:paraId="00000021">
      <w:pPr>
        <w:numPr>
          <w:ilvl w:val="0"/>
          <w:numId w:val="9"/>
        </w:numPr>
        <w:spacing w:after="240" w:lineRule="auto"/>
        <w:ind w:left="720" w:hanging="360"/>
        <w:rPr>
          <w:b w:val="1"/>
          <w:bCs w:val="1"/>
        </w:rPr>
      </w:pPr>
      <w:r w:rsidDel="00000000" w:rsidR="00000000" w:rsidRPr="00000000">
        <w:rPr>
          <w:b w:val="1"/>
          <w:bCs w:val="1"/>
          <w:rtl w:val="0"/>
        </w:rPr>
        <w:t xml:space="preserve">Image Optimization: Wipe out the generic stock metadata captions (e.g., "Young Asia student study...") and inject keyword-rich alternative text like </w:t>
      </w:r>
      <w:r w:rsidDel="00000000" w:rsidR="00000000" w:rsidRPr="00000000">
        <w:rPr>
          <w:b w:val="1"/>
          <w:bCs w:val="1"/>
          <w:color w:val="188038"/>
          <w:rtl w:val="0"/>
        </w:rPr>
        <w:t xml:space="preserve">alt="The Bradbury Group - AI Strategy Consultant for Human Performance"</w:t>
      </w:r>
      <w:r w:rsidDel="00000000" w:rsidR="00000000" w:rsidRPr="00000000">
        <w:rPr>
          <w:b w:val="1"/>
          <w:bCs w:val="1"/>
          <w:rtl w:val="0"/>
        </w:rPr>
        <w:t xml:space="preserve">.</w:t>
      </w:r>
    </w:p>
    <w:p w:rsidR="00000000" w:rsidDel="00000000" w:rsidP="00000000" w:rsidRDefault="00000000" w:rsidRPr="00000000" w14:paraId="0000002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keepNext w:val="0"/>
        <w:keepLines w:val="0"/>
        <w:spacing w:after="80" w:before="0" w:lineRule="auto"/>
        <w:rPr>
          <w:b w:val="1"/>
          <w:bCs w:val="1"/>
          <w:sz w:val="34"/>
          <w:szCs w:val="34"/>
        </w:rPr>
      </w:pPr>
      <w:bookmarkStart w:colFirst="0" w:colLast="0" w:name="_9nj9s4o4wio0" w:id="6"/>
      <w:bookmarkEnd w:id="6"/>
      <w:r w:rsidDel="00000000" w:rsidR="00000000" w:rsidRPr="00000000">
        <w:rPr>
          <w:b w:val="1"/>
          <w:bCs w:val="1"/>
          <w:sz w:val="34"/>
          <w:szCs w:val="34"/>
          <w:rtl w:val="0"/>
        </w:rPr>
        <w:t xml:space="preserve">3. Visual System Strategy (The 80/15/5 Prestige Logic)</w:t>
      </w:r>
    </w:p>
    <w:p w:rsidR="00000000" w:rsidDel="00000000" w:rsidP="00000000" w:rsidRDefault="00000000" w:rsidRPr="00000000" w14:paraId="00000024">
      <w:pPr>
        <w:spacing w:after="240" w:lineRule="auto"/>
        <w:rPr>
          <w:b w:val="1"/>
          <w:bCs w:val="1"/>
        </w:rPr>
      </w:pPr>
      <w:r w:rsidDel="00000000" w:rsidR="00000000" w:rsidRPr="00000000">
        <w:rPr>
          <w:b w:val="1"/>
          <w:bCs w:val="1"/>
          <w:rtl w:val="0"/>
        </w:rPr>
        <w:t xml:space="preserve">Move away from the high-contrast "casual SaaS startup" color blocks into a high-end enterprise consultancy voice. Implement a strict typographic and color rhythm designed to optimize cognitive scanning for time-starved executives.</w:t>
      </w:r>
    </w:p>
    <w:p w:rsidR="00000000" w:rsidDel="00000000" w:rsidP="00000000" w:rsidRDefault="00000000" w:rsidRPr="00000000" w14:paraId="00000025">
      <w:pPr>
        <w:pStyle w:val="Heading3"/>
        <w:keepNext w:val="0"/>
        <w:keepLines w:val="0"/>
        <w:spacing w:before="0" w:lineRule="auto"/>
        <w:rPr>
          <w:b w:val="1"/>
          <w:bCs w:val="1"/>
          <w:color w:val="000000"/>
          <w:sz w:val="26"/>
          <w:szCs w:val="26"/>
        </w:rPr>
      </w:pPr>
      <w:bookmarkStart w:colFirst="0" w:colLast="0" w:name="_9z46x89hff4o" w:id="7"/>
      <w:bookmarkEnd w:id="7"/>
      <w:r w:rsidDel="00000000" w:rsidR="00000000" w:rsidRPr="00000000">
        <w:rPr>
          <w:rtl w:val="0"/>
        </w:rPr>
      </w:r>
    </w:p>
    <w:p w:rsidR="00000000" w:rsidDel="00000000" w:rsidP="00000000" w:rsidRDefault="00000000" w:rsidRPr="00000000" w14:paraId="00000026">
      <w:pPr>
        <w:pStyle w:val="Heading3"/>
        <w:keepNext w:val="0"/>
        <w:keepLines w:val="0"/>
        <w:spacing w:before="0" w:lineRule="auto"/>
        <w:rPr>
          <w:b w:val="1"/>
          <w:bCs w:val="1"/>
          <w:color w:val="000000"/>
          <w:sz w:val="26"/>
          <w:szCs w:val="26"/>
        </w:rPr>
      </w:pPr>
      <w:bookmarkStart w:colFirst="0" w:colLast="0" w:name="_e778g8yfcmyk" w:id="8"/>
      <w:bookmarkEnd w:id="8"/>
      <w:r w:rsidDel="00000000" w:rsidR="00000000" w:rsidRPr="00000000">
        <w:rPr>
          <w:rtl w:val="0"/>
        </w:rPr>
      </w:r>
    </w:p>
    <w:p w:rsidR="00000000" w:rsidDel="00000000" w:rsidP="00000000" w:rsidRDefault="00000000" w:rsidRPr="00000000" w14:paraId="00000027">
      <w:pPr>
        <w:pStyle w:val="Heading3"/>
        <w:keepNext w:val="0"/>
        <w:keepLines w:val="0"/>
        <w:spacing w:before="0" w:lineRule="auto"/>
        <w:rPr>
          <w:b w:val="1"/>
          <w:bCs w:val="1"/>
          <w:color w:val="000000"/>
          <w:sz w:val="26"/>
          <w:szCs w:val="26"/>
        </w:rPr>
      </w:pPr>
      <w:bookmarkStart w:colFirst="0" w:colLast="0" w:name="_zhd9bc250c5f" w:id="9"/>
      <w:bookmarkEnd w:id="9"/>
      <w:commentRangeStart w:id="20"/>
      <w:r w:rsidDel="00000000" w:rsidR="00000000" w:rsidRPr="00000000">
        <w:rPr>
          <w:b w:val="1"/>
          <w:bCs w:val="1"/>
          <w:color w:val="000000"/>
          <w:sz w:val="26"/>
          <w:szCs w:val="26"/>
          <w:rtl w:val="0"/>
        </w:rPr>
        <w:t xml:space="preserve">The Color Distribution Canvas</w:t>
      </w:r>
      <w:commentRangeEnd w:id="20"/>
      <w:r w:rsidDel="00000000" w:rsidR="00000000" w:rsidRPr="00000000">
        <w:commentReference w:id="20"/>
      </w: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1.578947368421"/>
        <w:gridCol w:w="2199.425837320574"/>
        <w:gridCol w:w="5408.995215311005"/>
        <w:tblGridChange w:id="0">
          <w:tblGrid>
            <w:gridCol w:w="1751.578947368421"/>
            <w:gridCol w:w="2199.425837320574"/>
            <w:gridCol w:w="5408.995215311005"/>
          </w:tblGrid>
        </w:tblGridChange>
      </w:tblGrid>
      <w:tr>
        <w:trPr>
          <w:cantSplit w:val="0"/>
          <w:trHeight w:val="80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8">
            <w:pPr>
              <w:spacing w:after="480" w:lineRule="auto"/>
              <w:rPr>
                <w:b w:val="1"/>
                <w:bCs w:val="1"/>
              </w:rPr>
            </w:pPr>
            <w:r w:rsidDel="00000000" w:rsidR="00000000" w:rsidRPr="00000000">
              <w:rPr>
                <w:b w:val="1"/>
                <w:bCs w:val="1"/>
                <w:rtl w:val="0"/>
              </w:rPr>
              <w:t xml:space="preserve">Distribution Weight</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9">
            <w:pPr>
              <w:spacing w:after="480" w:lineRule="auto"/>
              <w:rPr>
                <w:b w:val="1"/>
                <w:bCs w:val="1"/>
              </w:rPr>
            </w:pPr>
            <w:r w:rsidDel="00000000" w:rsidR="00000000" w:rsidRPr="00000000">
              <w:rPr>
                <w:b w:val="1"/>
                <w:bCs w:val="1"/>
                <w:rtl w:val="0"/>
              </w:rPr>
              <w:t xml:space="preserve">Color Name &amp; Hex</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A">
            <w:pPr>
              <w:spacing w:after="480" w:lineRule="auto"/>
              <w:rPr>
                <w:b w:val="1"/>
                <w:bCs w:val="1"/>
              </w:rPr>
            </w:pPr>
            <w:r w:rsidDel="00000000" w:rsidR="00000000" w:rsidRPr="00000000">
              <w:rPr>
                <w:b w:val="1"/>
                <w:bCs w:val="1"/>
                <w:rtl w:val="0"/>
              </w:rPr>
              <w:t xml:space="preserve">Strategic UI Role</w:t>
            </w:r>
          </w:p>
        </w:tc>
      </w:tr>
      <w:tr>
        <w:trPr>
          <w:cantSplit w:val="0"/>
          <w:trHeight w:val="14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B">
            <w:pPr>
              <w:spacing w:after="480" w:lineRule="auto"/>
              <w:rPr>
                <w:b w:val="1"/>
                <w:bCs w:val="1"/>
              </w:rPr>
            </w:pPr>
            <w:r w:rsidDel="00000000" w:rsidR="00000000" w:rsidRPr="00000000">
              <w:rPr>
                <w:b w:val="1"/>
                <w:bCs w:val="1"/>
                <w:rtl w:val="0"/>
              </w:rPr>
              <w:t xml:space="preserve">80% Foundation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C">
            <w:pPr>
              <w:spacing w:after="480" w:lineRule="auto"/>
              <w:rPr>
                <w:b w:val="1"/>
                <w:bCs w:val="1"/>
              </w:rPr>
            </w:pPr>
            <w:r w:rsidDel="00000000" w:rsidR="00000000" w:rsidRPr="00000000">
              <w:rPr>
                <w:b w:val="1"/>
                <w:bCs w:val="1"/>
                <w:rtl w:val="0"/>
              </w:rPr>
              <w:t xml:space="preserve">Pure White (</w:t>
            </w:r>
            <w:r w:rsidDel="00000000" w:rsidR="00000000" w:rsidRPr="00000000">
              <w:rPr>
                <w:b w:val="1"/>
                <w:bCs w:val="1"/>
                <w:color w:val="188038"/>
                <w:rtl w:val="0"/>
              </w:rPr>
              <w:t xml:space="preserve">#ffffff</w:t>
            </w:r>
            <w:r w:rsidDel="00000000" w:rsidR="00000000" w:rsidRPr="00000000">
              <w:rPr>
                <w:b w:val="1"/>
                <w:bCs w:val="1"/>
                <w:rtl w:val="0"/>
              </w:rPr>
              <w:t xml:space="preserve">) &amp; Deep Navy (</w:t>
            </w:r>
            <w:r w:rsidDel="00000000" w:rsidR="00000000" w:rsidRPr="00000000">
              <w:rPr>
                <w:b w:val="1"/>
                <w:bCs w:val="1"/>
                <w:color w:val="188038"/>
                <w:rtl w:val="0"/>
              </w:rPr>
              <w:t xml:space="preserve">#0c2940</w:t>
            </w: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D">
            <w:pPr>
              <w:spacing w:after="480" w:lineRule="auto"/>
              <w:rPr>
                <w:b w:val="1"/>
                <w:bCs w:val="1"/>
              </w:rPr>
            </w:pPr>
            <w:r w:rsidDel="00000000" w:rsidR="00000000" w:rsidRPr="00000000">
              <w:rPr>
                <w:b w:val="1"/>
                <w:bCs w:val="1"/>
                <w:rtl w:val="0"/>
              </w:rPr>
              <w:t xml:space="preserve">The Canvas: Gives high visual contrast and breathing room. Restricts messy gray dividers to alleviate the cognitive load executive buyers feel when processing technical data.</w:t>
            </w:r>
          </w:p>
        </w:tc>
      </w:tr>
      <w:tr>
        <w:trPr>
          <w:cantSplit w:val="0"/>
          <w:trHeight w:val="1715"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E">
            <w:pPr>
              <w:spacing w:after="480" w:lineRule="auto"/>
              <w:rPr>
                <w:b w:val="1"/>
                <w:bCs w:val="1"/>
              </w:rPr>
            </w:pPr>
            <w:r w:rsidDel="00000000" w:rsidR="00000000" w:rsidRPr="00000000">
              <w:rPr>
                <w:b w:val="1"/>
                <w:bCs w:val="1"/>
                <w:rtl w:val="0"/>
              </w:rPr>
              <w:t xml:space="preserve">15% Expertise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2F">
            <w:pPr>
              <w:spacing w:after="480" w:lineRule="auto"/>
              <w:rPr>
                <w:b w:val="1"/>
                <w:bCs w:val="1"/>
              </w:rPr>
            </w:pPr>
            <w:r w:rsidDel="00000000" w:rsidR="00000000" w:rsidRPr="00000000">
              <w:rPr>
                <w:b w:val="1"/>
                <w:bCs w:val="1"/>
                <w:rtl w:val="0"/>
              </w:rPr>
              <w:t xml:space="preserve">Steel Teal (</w:t>
            </w:r>
            <w:r w:rsidDel="00000000" w:rsidR="00000000" w:rsidRPr="00000000">
              <w:rPr>
                <w:b w:val="1"/>
                <w:bCs w:val="1"/>
                <w:color w:val="188038"/>
                <w:rtl w:val="0"/>
              </w:rPr>
              <w:t xml:space="preserve">#3f6d67</w:t>
            </w:r>
            <w:r w:rsidDel="00000000" w:rsidR="00000000" w:rsidRPr="00000000">
              <w:rPr>
                <w:b w:val="1"/>
                <w:bCs w:val="1"/>
                <w:rtl w:val="0"/>
              </w:rPr>
              <w:t xml:space="preserve">) &amp; Muted Terracotta (</w:t>
            </w:r>
            <w:r w:rsidDel="00000000" w:rsidR="00000000" w:rsidRPr="00000000">
              <w:rPr>
                <w:b w:val="1"/>
                <w:bCs w:val="1"/>
                <w:color w:val="188038"/>
                <w:rtl w:val="0"/>
              </w:rPr>
              <w:t xml:space="preserve">#c57b4b</w:t>
            </w: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0">
            <w:pPr>
              <w:spacing w:after="480" w:lineRule="auto"/>
              <w:rPr>
                <w:b w:val="1"/>
                <w:bCs w:val="1"/>
              </w:rPr>
            </w:pPr>
            <w:r w:rsidDel="00000000" w:rsidR="00000000" w:rsidRPr="00000000">
              <w:rPr>
                <w:b w:val="1"/>
                <w:bCs w:val="1"/>
                <w:rtl w:val="0"/>
              </w:rPr>
              <w:t xml:space="preserve">The Balance: Use Steel Teal exclusively for architectural layout lines, workflow diagrams, and borders. Use Terracotta to add warm, "Human-in-the-loop" emphasis to case study pull-quotes and client data.</w:t>
            </w:r>
          </w:p>
        </w:tc>
      </w:tr>
      <w:tr>
        <w:trPr>
          <w:cantSplit w:val="0"/>
          <w:trHeight w:val="1430" w:hRule="atLeast"/>
          <w:tblHeader w:val="0"/>
        </w:trPr>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1">
            <w:pPr>
              <w:spacing w:after="480" w:lineRule="auto"/>
              <w:rPr>
                <w:b w:val="1"/>
                <w:bCs w:val="1"/>
              </w:rPr>
            </w:pPr>
            <w:r w:rsidDel="00000000" w:rsidR="00000000" w:rsidRPr="00000000">
              <w:rPr>
                <w:b w:val="1"/>
                <w:bCs w:val="1"/>
                <w:rtl w:val="0"/>
              </w:rPr>
              <w:t xml:space="preserve">5% Ignition</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2">
            <w:pPr>
              <w:spacing w:after="480" w:lineRule="auto"/>
              <w:rPr>
                <w:b w:val="1"/>
                <w:bCs w:val="1"/>
              </w:rPr>
            </w:pPr>
            <w:r w:rsidDel="00000000" w:rsidR="00000000" w:rsidRPr="00000000">
              <w:rPr>
                <w:b w:val="1"/>
                <w:bCs w:val="1"/>
                <w:rtl w:val="0"/>
              </w:rPr>
              <w:t xml:space="preserve">Mustard Gold (</w:t>
            </w:r>
            <w:r w:rsidDel="00000000" w:rsidR="00000000" w:rsidRPr="00000000">
              <w:rPr>
                <w:b w:val="1"/>
                <w:bCs w:val="1"/>
                <w:color w:val="188038"/>
                <w:rtl w:val="0"/>
              </w:rPr>
              <w:t xml:space="preserve">#f8c51c</w:t>
            </w:r>
            <w:r w:rsidDel="00000000" w:rsidR="00000000" w:rsidRPr="00000000">
              <w:rPr>
                <w:b w:val="1"/>
                <w:bCs w:val="1"/>
                <w:rtl w:val="0"/>
              </w:rPr>
              <w:t xml:space="preserve">)</w:t>
            </w:r>
          </w:p>
        </w:tc>
        <w:tc>
          <w:tcPr>
            <w:tcBorders>
              <w:top w:color="000000" w:space="0" w:sz="5" w:val="single"/>
              <w:left w:color="000000" w:space="0" w:sz="5" w:val="single"/>
              <w:bottom w:color="000000" w:space="0" w:sz="5" w:val="single"/>
              <w:right w:color="000000" w:space="0" w:sz="5" w:val="single"/>
            </w:tcBorders>
          </w:tcPr>
          <w:p w:rsidR="00000000" w:rsidDel="00000000" w:rsidP="00000000" w:rsidRDefault="00000000" w:rsidRPr="00000000" w14:paraId="00000033">
            <w:pPr>
              <w:spacing w:after="480" w:lineRule="auto"/>
              <w:rPr>
                <w:b w:val="1"/>
                <w:bCs w:val="1"/>
              </w:rPr>
            </w:pPr>
            <w:r w:rsidDel="00000000" w:rsidR="00000000" w:rsidRPr="00000000">
              <w:rPr>
                <w:b w:val="1"/>
                <w:bCs w:val="1"/>
                <w:rtl w:val="0"/>
              </w:rPr>
              <w:t xml:space="preserve">The Interactive Magnet: Reserved </w:t>
            </w:r>
            <w:r w:rsidDel="00000000" w:rsidR="00000000" w:rsidRPr="00000000">
              <w:rPr>
                <w:b w:val="1"/>
                <w:bCs w:val="1"/>
                <w:i w:val="1"/>
                <w:iCs w:val="1"/>
                <w:rtl w:val="0"/>
              </w:rPr>
              <w:t xml:space="preserve">only</w:t>
            </w:r>
            <w:r w:rsidDel="00000000" w:rsidR="00000000" w:rsidRPr="00000000">
              <w:rPr>
                <w:b w:val="1"/>
                <w:bCs w:val="1"/>
                <w:rtl w:val="0"/>
              </w:rPr>
              <w:t xml:space="preserve"> for the absolute final conversion nodes (Primary CTAs like "Book Consultation") and transformative lightbulb moments.</w:t>
            </w:r>
          </w:p>
        </w:tc>
      </w:tr>
    </w:tbl>
    <w:p w:rsidR="00000000" w:rsidDel="00000000" w:rsidP="00000000" w:rsidRDefault="00000000" w:rsidRPr="00000000" w14:paraId="00000034">
      <w:pPr>
        <w:pStyle w:val="Heading3"/>
        <w:keepNext w:val="0"/>
        <w:keepLines w:val="0"/>
        <w:spacing w:before="0" w:lineRule="auto"/>
        <w:rPr>
          <w:b w:val="1"/>
          <w:bCs w:val="1"/>
          <w:color w:val="000000"/>
          <w:sz w:val="26"/>
          <w:szCs w:val="26"/>
        </w:rPr>
      </w:pPr>
      <w:bookmarkStart w:colFirst="0" w:colLast="0" w:name="_uepyt1vwoddd" w:id="10"/>
      <w:bookmarkEnd w:id="10"/>
      <w:r w:rsidDel="00000000" w:rsidR="00000000" w:rsidRPr="00000000">
        <w:rPr>
          <w:b w:val="1"/>
          <w:bCs w:val="1"/>
          <w:color w:val="000000"/>
          <w:sz w:val="26"/>
          <w:szCs w:val="26"/>
          <w:rtl w:val="0"/>
        </w:rPr>
        <w:t xml:space="preserve">Typographic Scale &amp; Rhythm</w:t>
      </w:r>
    </w:p>
    <w:p w:rsidR="00000000" w:rsidDel="00000000" w:rsidP="00000000" w:rsidRDefault="00000000" w:rsidRPr="00000000" w14:paraId="00000035">
      <w:pPr>
        <w:spacing w:after="240" w:lineRule="auto"/>
        <w:rPr>
          <w:b w:val="1"/>
          <w:bCs w:val="1"/>
        </w:rPr>
      </w:pPr>
      <w:r w:rsidDel="00000000" w:rsidR="00000000" w:rsidRPr="00000000">
        <w:rPr>
          <w:b w:val="1"/>
          <w:bCs w:val="1"/>
          <w:rtl w:val="0"/>
        </w:rPr>
        <w:t xml:space="preserve">Standardize your system to enforce clean readability across desktop and mobile layout viewports.</w:t>
      </w:r>
    </w:p>
    <w:p w:rsidR="00000000" w:rsidDel="00000000" w:rsidP="00000000" w:rsidRDefault="00000000" w:rsidRPr="00000000" w14:paraId="00000036">
      <w:pPr>
        <w:numPr>
          <w:ilvl w:val="0"/>
          <w:numId w:val="8"/>
        </w:numPr>
        <w:spacing w:after="0" w:afterAutospacing="0" w:lineRule="auto"/>
        <w:ind w:left="720" w:hanging="360"/>
        <w:rPr>
          <w:b w:val="1"/>
          <w:bCs w:val="1"/>
        </w:rPr>
      </w:pPr>
      <w:r w:rsidDel="00000000" w:rsidR="00000000" w:rsidRPr="00000000">
        <w:rPr>
          <w:b w:val="1"/>
          <w:bCs w:val="1"/>
          <w:rtl w:val="0"/>
        </w:rPr>
        <w:t xml:space="preserve">Primary Headings (H1/H2): Set in Montserrat (Bold / Semi-Bold) in Deep Navy. This establishes a strong, wide, geometric foundation that screams institutional trust.</w:t>
      </w:r>
    </w:p>
    <w:p w:rsidR="00000000" w:rsidDel="00000000" w:rsidP="00000000" w:rsidRDefault="00000000" w:rsidRPr="00000000" w14:paraId="00000037">
      <w:pPr>
        <w:numPr>
          <w:ilvl w:val="0"/>
          <w:numId w:val="8"/>
        </w:numPr>
        <w:spacing w:after="0" w:afterAutospacing="0" w:lineRule="auto"/>
        <w:ind w:left="720" w:hanging="360"/>
        <w:rPr>
          <w:b w:val="1"/>
          <w:bCs w:val="1"/>
        </w:rPr>
      </w:pPr>
      <w:r w:rsidDel="00000000" w:rsidR="00000000" w:rsidRPr="00000000">
        <w:rPr>
          <w:b w:val="1"/>
          <w:bCs w:val="1"/>
          <w:rtl w:val="0"/>
        </w:rPr>
        <w:t xml:space="preserve">Body Narrative: Set in Open Sans (Regular) with a minimum text leading/line-height profile of 1.5x. Its open apertures significantly reduce screen fatigue during long-form reading sessions.</w:t>
      </w:r>
    </w:p>
    <w:p w:rsidR="00000000" w:rsidDel="00000000" w:rsidP="00000000" w:rsidRDefault="00000000" w:rsidRPr="00000000" w14:paraId="00000038">
      <w:pPr>
        <w:numPr>
          <w:ilvl w:val="0"/>
          <w:numId w:val="8"/>
        </w:numPr>
        <w:spacing w:after="240" w:lineRule="auto"/>
        <w:ind w:left="720" w:hanging="360"/>
        <w:rPr>
          <w:b w:val="1"/>
          <w:bCs w:val="1"/>
        </w:rPr>
      </w:pPr>
      <w:r w:rsidDel="00000000" w:rsidR="00000000" w:rsidRPr="00000000">
        <w:rPr>
          <w:b w:val="1"/>
          <w:bCs w:val="1"/>
          <w:rtl w:val="0"/>
        </w:rPr>
        <w:t xml:space="preserve">Visual Highlights / Callouts: Apply Playfair Display (Italic) for pull-quotes or Paige's core philosophy statements. This "Editorial Tech" design look bridges the gap between raw computational engineering and traditional executive wisdom.</w:t>
      </w:r>
    </w:p>
    <w:p w:rsidR="00000000" w:rsidDel="00000000" w:rsidP="00000000" w:rsidRDefault="00000000" w:rsidRPr="00000000" w14:paraId="00000039">
      <w:pPr>
        <w:pStyle w:val="Heading3"/>
        <w:keepNext w:val="0"/>
        <w:keepLines w:val="0"/>
        <w:spacing w:before="0" w:lineRule="auto"/>
        <w:rPr>
          <w:b w:val="1"/>
          <w:bCs w:val="1"/>
          <w:color w:val="000000"/>
          <w:sz w:val="26"/>
          <w:szCs w:val="26"/>
        </w:rPr>
      </w:pPr>
      <w:bookmarkStart w:colFirst="0" w:colLast="0" w:name="_ry4kcikxr2jd" w:id="11"/>
      <w:bookmarkEnd w:id="11"/>
      <w:r w:rsidDel="00000000" w:rsidR="00000000" w:rsidRPr="00000000">
        <w:rPr>
          <w:b w:val="1"/>
          <w:bCs w:val="1"/>
          <w:color w:val="000000"/>
          <w:sz w:val="26"/>
          <w:szCs w:val="26"/>
          <w:rtl w:val="0"/>
        </w:rPr>
        <w:t xml:space="preserve">Dynamic Micro-interactions</w:t>
      </w:r>
    </w:p>
    <w:p w:rsidR="00000000" w:rsidDel="00000000" w:rsidP="00000000" w:rsidRDefault="00000000" w:rsidRPr="00000000" w14:paraId="0000003A">
      <w:pPr>
        <w:spacing w:after="240" w:lineRule="auto"/>
        <w:rPr>
          <w:b w:val="1"/>
          <w:bCs w:val="1"/>
        </w:rPr>
      </w:pPr>
      <w:commentRangeStart w:id="21"/>
      <w:r w:rsidDel="00000000" w:rsidR="00000000" w:rsidRPr="00000000">
        <w:rPr>
          <w:b w:val="1"/>
          <w:bCs w:val="1"/>
          <w:rtl w:val="0"/>
        </w:rPr>
        <w:t xml:space="preserve">To signal that you are a cutting-edge guide in the Artificial Intelligence space, remove the flat, static layout feel.</w:t>
      </w:r>
      <w:commentRangeEnd w:id="21"/>
      <w:r w:rsidDel="00000000" w:rsidR="00000000" w:rsidRPr="00000000">
        <w:commentReference w:id="21"/>
      </w:r>
      <w:r w:rsidDel="00000000" w:rsidR="00000000" w:rsidRPr="00000000">
        <w:rPr>
          <w:rtl w:val="0"/>
        </w:rPr>
      </w:r>
    </w:p>
    <w:p w:rsidR="00000000" w:rsidDel="00000000" w:rsidP="00000000" w:rsidRDefault="00000000" w:rsidRPr="00000000" w14:paraId="0000003B">
      <w:pPr>
        <w:numPr>
          <w:ilvl w:val="0"/>
          <w:numId w:val="1"/>
        </w:numPr>
        <w:spacing w:after="0" w:afterAutospacing="0" w:lineRule="auto"/>
        <w:ind w:left="720" w:hanging="360"/>
        <w:rPr>
          <w:b w:val="1"/>
          <w:bCs w:val="1"/>
        </w:rPr>
      </w:pPr>
      <w:r w:rsidDel="00000000" w:rsidR="00000000" w:rsidRPr="00000000">
        <w:rPr>
          <w:b w:val="1"/>
          <w:bCs w:val="1"/>
          <w:rtl w:val="0"/>
        </w:rPr>
        <w:t xml:space="preserve">Loading Indicators: Ditch generic circular loading spinners. When a user interacts with the embedded ElevenLabs agent,</w:t>
      </w:r>
      <w:commentRangeStart w:id="22"/>
      <w:r w:rsidDel="00000000" w:rsidR="00000000" w:rsidRPr="00000000">
        <w:rPr>
          <w:b w:val="1"/>
          <w:bCs w:val="1"/>
          <w:rtl w:val="0"/>
        </w:rPr>
        <w:t xml:space="preserve"> use a calm pulse transition animation</w:t>
      </w:r>
      <w:commentRangeEnd w:id="22"/>
      <w:r w:rsidDel="00000000" w:rsidR="00000000" w:rsidRPr="00000000">
        <w:commentReference w:id="22"/>
      </w:r>
      <w:r w:rsidDel="00000000" w:rsidR="00000000" w:rsidRPr="00000000">
        <w:rPr>
          <w:b w:val="1"/>
          <w:bCs w:val="1"/>
          <w:rtl w:val="0"/>
        </w:rPr>
        <w:t xml:space="preserve"> in Steel Teal (</w:t>
      </w:r>
      <w:r w:rsidDel="00000000" w:rsidR="00000000" w:rsidRPr="00000000">
        <w:rPr>
          <w:b w:val="1"/>
          <w:bCs w:val="1"/>
          <w:color w:val="188038"/>
          <w:rtl w:val="0"/>
        </w:rPr>
        <w:t xml:space="preserve">#3f6d67</w:t>
      </w:r>
      <w:r w:rsidDel="00000000" w:rsidR="00000000" w:rsidRPr="00000000">
        <w:rPr>
          <w:b w:val="1"/>
          <w:bCs w:val="1"/>
          <w:rtl w:val="0"/>
        </w:rPr>
        <w:t xml:space="preserve">) to simulate stability and intention.</w:t>
      </w:r>
    </w:p>
    <w:p w:rsidR="00000000" w:rsidDel="00000000" w:rsidP="00000000" w:rsidRDefault="00000000" w:rsidRPr="00000000" w14:paraId="0000003C">
      <w:pPr>
        <w:numPr>
          <w:ilvl w:val="0"/>
          <w:numId w:val="1"/>
        </w:numPr>
        <w:spacing w:after="240" w:lineRule="auto"/>
        <w:ind w:left="720" w:hanging="360"/>
        <w:rPr>
          <w:b w:val="1"/>
          <w:bCs w:val="1"/>
        </w:rPr>
      </w:pPr>
      <w:r w:rsidDel="00000000" w:rsidR="00000000" w:rsidRPr="00000000">
        <w:rPr>
          <w:b w:val="1"/>
          <w:bCs w:val="1"/>
          <w:rtl w:val="0"/>
        </w:rPr>
        <w:t xml:space="preserve">Error States: If a form submission fails, bypass defensive bright red warnings. </w:t>
      </w:r>
      <w:commentRangeStart w:id="23"/>
      <w:commentRangeStart w:id="24"/>
      <w:r w:rsidDel="00000000" w:rsidR="00000000" w:rsidRPr="00000000">
        <w:rPr>
          <w:b w:val="1"/>
          <w:bCs w:val="1"/>
          <w:rtl w:val="0"/>
        </w:rPr>
        <w:t xml:space="preserve">Utilize an empathetic Muted Terracotta</w:t>
      </w:r>
      <w:commentRangeEnd w:id="23"/>
      <w:r w:rsidDel="00000000" w:rsidR="00000000" w:rsidRPr="00000000">
        <w:commentReference w:id="23"/>
      </w:r>
      <w:commentRangeEnd w:id="24"/>
      <w:r w:rsidDel="00000000" w:rsidR="00000000" w:rsidRPr="00000000">
        <w:commentReference w:id="24"/>
      </w:r>
      <w:r w:rsidDel="00000000" w:rsidR="00000000" w:rsidRPr="00000000">
        <w:rPr>
          <w:b w:val="1"/>
          <w:bCs w:val="1"/>
          <w:rtl w:val="0"/>
        </w:rPr>
        <w:t xml:space="preserve"> (</w:t>
      </w:r>
      <w:r w:rsidDel="00000000" w:rsidR="00000000" w:rsidRPr="00000000">
        <w:rPr>
          <w:b w:val="1"/>
          <w:bCs w:val="1"/>
          <w:color w:val="188038"/>
          <w:rtl w:val="0"/>
        </w:rPr>
        <w:t xml:space="preserve">#c57b4b</w:t>
      </w:r>
      <w:r w:rsidDel="00000000" w:rsidR="00000000" w:rsidRPr="00000000">
        <w:rPr>
          <w:b w:val="1"/>
          <w:bCs w:val="1"/>
          <w:rtl w:val="0"/>
        </w:rPr>
        <w:t xml:space="preserve">) card layout stating that a </w:t>
      </w:r>
      <w:r w:rsidDel="00000000" w:rsidR="00000000" w:rsidRPr="00000000">
        <w:rPr>
          <w:b w:val="1"/>
          <w:bCs w:val="1"/>
          <w:i w:val="1"/>
          <w:iCs w:val="1"/>
          <w:rtl w:val="0"/>
        </w:rPr>
        <w:t xml:space="preserve">"Human-in-the-loop is stepping in shortly to assist"</w:t>
      </w:r>
      <w:r w:rsidDel="00000000" w:rsidR="00000000" w:rsidRPr="00000000">
        <w:rPr>
          <w:b w:val="1"/>
          <w:bCs w:val="1"/>
          <w:rtl w:val="0"/>
        </w:rPr>
        <w:t xml:space="preserve">.</w:t>
      </w:r>
    </w:p>
    <w:p w:rsidR="00000000" w:rsidDel="00000000" w:rsidP="00000000" w:rsidRDefault="00000000" w:rsidRPr="00000000" w14:paraId="0000003D">
      <w:pPr>
        <w:rPr>
          <w:b w:val="1"/>
          <w:bCs w:val="1"/>
        </w:rPr>
      </w:pPr>
      <w:r w:rsidDel="00000000" w:rsidR="00000000" w:rsidRPr="00000000">
        <w:rPr>
          <w:b w:val="1"/>
          <w:bCs w:val="1"/>
          <w:rtl w:val="0"/>
        </w:rPr>
        <w:t xml:space="preserve">A former approach of visual representation are attached to the Drive link below.</w:t>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commentRangeStart w:id="25"/>
      <w:commentRangeStart w:id="26"/>
      <w:hyperlink r:id="rId7">
        <w:r w:rsidDel="00000000" w:rsidR="00000000" w:rsidRPr="00000000">
          <w:rPr>
            <w:b w:val="1"/>
            <w:bCs w:val="1"/>
            <w:color w:val="1155cc"/>
            <w:u w:val="single"/>
            <w:rtl w:val="0"/>
          </w:rPr>
          <w:t xml:space="preserve">TBG-Website lookout</w:t>
        </w:r>
      </w:hyperlink>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p w:rsidR="00000000" w:rsidDel="00000000" w:rsidP="00000000" w:rsidRDefault="00000000" w:rsidRPr="00000000" w14:paraId="00000040">
      <w:pPr>
        <w:rPr>
          <w:b w:val="1"/>
          <w:bCs w:val="1"/>
        </w:rPr>
      </w:pP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rtl w:val="0"/>
        </w:rPr>
      </w:r>
    </w:p>
    <w:p w:rsidR="00000000" w:rsidDel="00000000" w:rsidP="00000000" w:rsidRDefault="00000000" w:rsidRPr="00000000" w14:paraId="00000042">
      <w:pPr>
        <w:rPr>
          <w:b w:val="1"/>
          <w:bCs w:val="1"/>
        </w:rPr>
      </w:pPr>
      <w:commentRangeStart w:id="27"/>
      <w:r w:rsidDel="00000000" w:rsidR="00000000" w:rsidRPr="00000000">
        <w:rPr>
          <w:b w:val="1"/>
          <w:bCs w:val="1"/>
          <w:rtl w:val="0"/>
        </w:rPr>
        <w:t xml:space="preserve">Paige’s suggestions from recent call: </w:t>
      </w:r>
      <w:commentRangeEnd w:id="27"/>
      <w:r w:rsidDel="00000000" w:rsidR="00000000" w:rsidRPr="00000000">
        <w:commentReference w:id="27"/>
      </w: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Design Inspiration: https://acceleratedinnovation.com/accelerate-with-genai/</w:t>
      </w:r>
    </w:p>
    <w:p w:rsidR="00000000" w:rsidDel="00000000" w:rsidP="00000000" w:rsidRDefault="00000000" w:rsidRPr="00000000" w14:paraId="00000045">
      <w:pPr>
        <w:rPr>
          <w:b w:val="1"/>
          <w:bCs w:val="1"/>
        </w:rPr>
      </w:pPr>
      <w:r w:rsidDel="00000000" w:rsidR="00000000" w:rsidRPr="00000000">
        <w:rPr>
          <w:rtl w:val="0"/>
        </w:rPr>
      </w:r>
    </w:p>
    <w:p w:rsidR="00000000" w:rsidDel="00000000" w:rsidP="00000000" w:rsidRDefault="00000000" w:rsidRPr="00000000" w14:paraId="00000046">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Paige's suggestions focus on visual consistency, content structure, and a more professional aesthetic:</w:t>
      </w:r>
    </w:p>
    <w:p w:rsidR="00000000" w:rsidDel="00000000" w:rsidP="00000000" w:rsidRDefault="00000000" w:rsidRPr="00000000" w14:paraId="00000047">
      <w:pPr>
        <w:numPr>
          <w:ilvl w:val="0"/>
          <w:numId w:val="6"/>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4"/>
          <w:szCs w:val="24"/>
          <w:rtl w:val="0"/>
        </w:rPr>
        <w:t xml:space="preserve">Design Aesthetic:</w:t>
      </w:r>
    </w:p>
    <w:p w:rsidR="00000000" w:rsidDel="00000000" w:rsidP="00000000" w:rsidRDefault="00000000" w:rsidRPr="00000000" w14:paraId="00000048">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4"/>
          <w:szCs w:val="24"/>
          <w:rtl w:val="0"/>
        </w:rPr>
        <w:t xml:space="preserve">Transition the design to a more "Consultancy Prestige" look, moving away from a "SaaS startup vibrance".</w:t>
      </w:r>
      <w:hyperlink r:id="rId8">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4"/>
          <w:szCs w:val="24"/>
          <w:rtl w:val="0"/>
        </w:rPr>
        <w:t xml:space="preserve">Use the visual aesthetic from the Atlanta AI week </w:t>
      </w:r>
      <w:commentRangeStart w:id="28"/>
      <w:r w:rsidDel="00000000" w:rsidR="00000000" w:rsidRPr="00000000">
        <w:rPr>
          <w:rFonts w:ascii="Roboto" w:cs="Roboto" w:eastAsia="Roboto" w:hAnsi="Roboto"/>
          <w:color w:val="1f1f1f"/>
          <w:sz w:val="24"/>
          <w:szCs w:val="24"/>
          <w:rtl w:val="0"/>
        </w:rPr>
        <w:t xml:space="preserve">landing page,</w:t>
      </w:r>
      <w:commentRangeEnd w:id="28"/>
      <w:r w:rsidDel="00000000" w:rsidR="00000000" w:rsidRPr="00000000">
        <w:commentReference w:id="28"/>
      </w:r>
      <w:r w:rsidDel="00000000" w:rsidR="00000000" w:rsidRPr="00000000">
        <w:rPr>
          <w:rFonts w:ascii="Roboto" w:cs="Roboto" w:eastAsia="Roboto" w:hAnsi="Roboto"/>
          <w:color w:val="1f1f1f"/>
          <w:sz w:val="24"/>
          <w:szCs w:val="24"/>
          <w:rtl w:val="0"/>
        </w:rPr>
        <w:t xml:space="preserve"> ensuring every page maintains a consistent visual theme.</w:t>
      </w:r>
      <w:hyperlink r:id="rId9">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4"/>
          <w:szCs w:val="24"/>
          <w:rtl w:val="0"/>
        </w:rPr>
        <w:t xml:space="preserve">Update the color palette to use a darker blue (like Deep Navy Anchor) for titles, which is the blue in the logo design, instead of black.</w:t>
      </w:r>
      <w:hyperlink r:id="rId10">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4B">
      <w:pPr>
        <w:numPr>
          <w:ilvl w:val="1"/>
          <w:numId w:val="6"/>
        </w:numPr>
        <w:spacing w:after="0" w:afterAutospacing="0" w:before="0" w:beforeAutospacing="0" w:lineRule="auto"/>
        <w:ind w:left="1440" w:hanging="360"/>
      </w:pPr>
      <w:r w:rsidDel="00000000" w:rsidR="00000000" w:rsidRPr="00000000">
        <w:rPr>
          <w:rFonts w:ascii="Roboto" w:cs="Roboto" w:eastAsia="Roboto" w:hAnsi="Roboto"/>
          <w:color w:val="1f1f1f"/>
          <w:sz w:val="24"/>
          <w:szCs w:val="24"/>
          <w:rtl w:val="0"/>
        </w:rPr>
        <w:t xml:space="preserve">Compare the design to competitors like the Georgia Alliance and Enterprise Technology to ensure it is professional while maintaining a </w:t>
      </w:r>
      <w:commentRangeStart w:id="29"/>
      <w:commentRangeStart w:id="30"/>
      <w:r w:rsidDel="00000000" w:rsidR="00000000" w:rsidRPr="00000000">
        <w:rPr>
          <w:rFonts w:ascii="Roboto" w:cs="Roboto" w:eastAsia="Roboto" w:hAnsi="Roboto"/>
          <w:color w:val="1f1f1f"/>
          <w:sz w:val="24"/>
          <w:szCs w:val="24"/>
          <w:rtl w:val="0"/>
        </w:rPr>
        <w:t xml:space="preserve">unique identity</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Roboto" w:cs="Roboto" w:eastAsia="Roboto" w:hAnsi="Roboto"/>
          <w:color w:val="1f1f1f"/>
          <w:sz w:val="24"/>
          <w:szCs w:val="24"/>
          <w:rtl w:val="0"/>
        </w:rPr>
        <w:t xml:space="preserve">.</w:t>
      </w:r>
      <w:hyperlink r:id="rId11">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4C">
      <w:pPr>
        <w:numPr>
          <w:ilvl w:val="0"/>
          <w:numId w:val="6"/>
        </w:numPr>
        <w:shd w:fill="ffffff" w:val="clear"/>
        <w:spacing w:after="0" w:afterAutospacing="0" w:before="0" w:beforeAutospacing="0" w:lineRule="auto"/>
        <w:ind w:left="720" w:hanging="360"/>
      </w:pPr>
      <w:commentRangeStart w:id="31"/>
      <w:r w:rsidDel="00000000" w:rsidR="00000000" w:rsidRPr="00000000">
        <w:rPr>
          <w:rFonts w:ascii="Roboto" w:cs="Roboto" w:eastAsia="Roboto" w:hAnsi="Roboto"/>
          <w:b w:val="1"/>
          <w:bCs w:val="1"/>
          <w:color w:val="1f1f1f"/>
          <w:sz w:val="24"/>
          <w:szCs w:val="24"/>
          <w:rtl w:val="0"/>
        </w:rPr>
        <w:t xml:space="preserve">Content and Structure:</w:t>
      </w:r>
      <w:commentRangeEnd w:id="31"/>
      <w:r w:rsidDel="00000000" w:rsidR="00000000" w:rsidRPr="00000000">
        <w:commentReference w:id="31"/>
      </w:r>
      <w:r w:rsidDel="00000000" w:rsidR="00000000" w:rsidRPr="00000000">
        <w:rPr>
          <w:rtl w:val="0"/>
        </w:rPr>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4"/>
          <w:szCs w:val="24"/>
          <w:rtl w:val="0"/>
        </w:rPr>
        <w:t xml:space="preserve">Services:</w:t>
      </w:r>
      <w:r w:rsidDel="00000000" w:rsidR="00000000" w:rsidRPr="00000000">
        <w:rPr>
          <w:rFonts w:ascii="Roboto" w:cs="Roboto" w:eastAsia="Roboto" w:hAnsi="Roboto"/>
          <w:color w:val="1f1f1f"/>
          <w:sz w:val="24"/>
          <w:szCs w:val="24"/>
          <w:rtl w:val="0"/>
        </w:rPr>
        <w:t xml:space="preserve"> Integrate key concepts like "human in a loop," "S2 compliant," and "train and implement with no theoretical fluff" into the services section (Training, Speaking, Consulting) to allow the removal of a separate section for this content.</w:t>
      </w:r>
      <w:hyperlink r:id="rId12">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4E">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4"/>
          <w:szCs w:val="24"/>
          <w:rtl w:val="0"/>
        </w:rPr>
        <w:t xml:space="preserve">Course Section:</w:t>
      </w:r>
      <w:r w:rsidDel="00000000" w:rsidR="00000000" w:rsidRPr="00000000">
        <w:rPr>
          <w:rFonts w:ascii="Roboto" w:cs="Roboto" w:eastAsia="Roboto" w:hAnsi="Roboto"/>
          <w:color w:val="1f1f1f"/>
          <w:sz w:val="24"/>
          <w:szCs w:val="24"/>
          <w:rtl w:val="0"/>
        </w:rPr>
        <w:t xml:space="preserve"> For the four main courses, replace the difficult-to-design, cursory elements with </w:t>
      </w:r>
      <w:r w:rsidDel="00000000" w:rsidR="00000000" w:rsidRPr="00000000">
        <w:rPr>
          <w:rFonts w:ascii="Roboto" w:cs="Roboto" w:eastAsia="Roboto" w:hAnsi="Roboto"/>
          <w:b w:val="1"/>
          <w:bCs w:val="1"/>
          <w:color w:val="1f1f1f"/>
          <w:sz w:val="24"/>
          <w:szCs w:val="24"/>
          <w:rtl w:val="0"/>
        </w:rPr>
        <w:t xml:space="preserve">more robust verbiage</w:t>
      </w:r>
      <w:r w:rsidDel="00000000" w:rsidR="00000000" w:rsidRPr="00000000">
        <w:rPr>
          <w:rFonts w:ascii="Roboto" w:cs="Roboto" w:eastAsia="Roboto" w:hAnsi="Roboto"/>
          <w:color w:val="1f1f1f"/>
          <w:sz w:val="24"/>
          <w:szCs w:val="24"/>
          <w:rtl w:val="0"/>
        </w:rPr>
        <w:t xml:space="preserve"> (either small paragraphs or three bullet points/sentences) underneath each course header to better sell the offerings.</w:t>
      </w:r>
      <w:hyperlink r:id="rId13">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4"/>
          <w:szCs w:val="24"/>
          <w:rtl w:val="0"/>
        </w:rPr>
        <w:t xml:space="preserve">Authority:</w:t>
      </w:r>
      <w:r w:rsidDel="00000000" w:rsidR="00000000" w:rsidRPr="00000000">
        <w:rPr>
          <w:rFonts w:ascii="Roboto" w:cs="Roboto" w:eastAsia="Roboto" w:hAnsi="Roboto"/>
          <w:color w:val="1f1f1f"/>
          <w:sz w:val="24"/>
          <w:szCs w:val="24"/>
          <w:rtl w:val="0"/>
        </w:rPr>
        <w:t xml:space="preserve"> Use black and white or grayed-out/monochrome versions of partner logos (PNG format) instead of color logos for a more "high end level evaluated" look.</w:t>
      </w:r>
      <w:hyperlink r:id="rId14">
        <w:r w:rsidDel="00000000" w:rsidR="00000000" w:rsidRPr="00000000">
          <w:rPr>
            <w:rFonts w:ascii="Roboto" w:cs="Roboto" w:eastAsia="Roboto" w:hAnsi="Roboto"/>
            <w:color w:val="1f1f1f"/>
            <w:sz w:val="14"/>
            <w:szCs w:val="14"/>
            <w:shd w:fill="f0f4f9" w:val="clear"/>
            <w:rtl w:val="0"/>
          </w:rPr>
          <w:t xml:space="preserve">2</w:t>
        </w:r>
      </w:hyperlink>
      <w:r w:rsidDel="00000000" w:rsidR="00000000" w:rsidRPr="00000000">
        <w:rPr>
          <w:rtl w:val="0"/>
        </w:rPr>
      </w:r>
    </w:p>
    <w:p w:rsidR="00000000" w:rsidDel="00000000" w:rsidP="00000000" w:rsidRDefault="00000000" w:rsidRPr="00000000" w14:paraId="00000050">
      <w:pPr>
        <w:numPr>
          <w:ilvl w:val="1"/>
          <w:numId w:val="6"/>
        </w:numPr>
        <w:spacing w:after="0" w:afterAutospacing="0" w:before="0" w:beforeAutospacing="0" w:lineRule="auto"/>
        <w:ind w:left="1440" w:hanging="360"/>
      </w:pPr>
      <w:r w:rsidDel="00000000" w:rsidR="00000000" w:rsidRPr="00000000">
        <w:rPr>
          <w:rFonts w:ascii="Roboto" w:cs="Roboto" w:eastAsia="Roboto" w:hAnsi="Roboto"/>
          <w:b w:val="1"/>
          <w:bCs w:val="1"/>
          <w:color w:val="1f1f1f"/>
          <w:sz w:val="24"/>
          <w:szCs w:val="24"/>
          <w:rtl w:val="0"/>
        </w:rPr>
        <w:t xml:space="preserve">Journey Map:</w:t>
      </w:r>
      <w:r w:rsidDel="00000000" w:rsidR="00000000" w:rsidRPr="00000000">
        <w:rPr>
          <w:rFonts w:ascii="Roboto" w:cs="Roboto" w:eastAsia="Roboto" w:hAnsi="Roboto"/>
          <w:color w:val="1f1f1f"/>
          <w:sz w:val="24"/>
          <w:szCs w:val="24"/>
          <w:rtl w:val="0"/>
        </w:rPr>
        <w:t xml:space="preserve"> Propose creating a "journey map" for the website to improve user engagement, incorporating graphical elements like roads or maps.</w:t>
      </w:r>
      <w:hyperlink r:id="rId15">
        <w:r w:rsidDel="00000000" w:rsidR="00000000" w:rsidRPr="00000000">
          <w:rPr>
            <w:rFonts w:ascii="Roboto" w:cs="Roboto" w:eastAsia="Roboto" w:hAnsi="Roboto"/>
            <w:color w:val="1f1f1f"/>
            <w:sz w:val="14"/>
            <w:szCs w:val="14"/>
            <w:shd w:fill="f0f4f9" w:val="clear"/>
            <w:rtl w:val="0"/>
          </w:rPr>
          <w:t xml:space="preserve">1</w:t>
        </w:r>
      </w:hyperlink>
      <w:hyperlink r:id="rId16">
        <w:r w:rsidDel="00000000" w:rsidR="00000000" w:rsidRPr="00000000">
          <w:rPr>
            <w:rFonts w:ascii="Roboto" w:cs="Roboto" w:eastAsia="Roboto" w:hAnsi="Roboto"/>
            <w:color w:val="1f1f1f"/>
            <w:sz w:val="14"/>
            <w:szCs w:val="14"/>
            <w:shd w:fill="f0f4f9" w:val="clear"/>
            <w:rtl w:val="0"/>
          </w:rPr>
          <w:t xml:space="preserve">3</w:t>
        </w:r>
      </w:hyperlink>
      <w:r w:rsidDel="00000000" w:rsidR="00000000" w:rsidRPr="00000000">
        <w:rPr>
          <w:rtl w:val="0"/>
        </w:rPr>
      </w:r>
    </w:p>
    <w:p w:rsidR="00000000" w:rsidDel="00000000" w:rsidP="00000000" w:rsidRDefault="00000000" w:rsidRPr="00000000" w14:paraId="00000051">
      <w:pPr>
        <w:numPr>
          <w:ilvl w:val="1"/>
          <w:numId w:val="6"/>
        </w:numPr>
        <w:shd w:fill="ffffff" w:val="clear"/>
        <w:spacing w:after="0" w:afterAutospacing="0" w:before="0" w:beforeAutospacing="0" w:lineRule="auto"/>
        <w:ind w:left="1440" w:hanging="360"/>
      </w:pPr>
      <w:r w:rsidDel="00000000" w:rsidR="00000000" w:rsidRPr="00000000">
        <w:rPr>
          <w:rFonts w:ascii="Roboto" w:cs="Roboto" w:eastAsia="Roboto" w:hAnsi="Roboto"/>
          <w:color w:val="1f1f1f"/>
          <w:sz w:val="24"/>
          <w:szCs w:val="24"/>
          <w:rtl w:val="0"/>
        </w:rPr>
        <w:t xml:space="preserve">Place the Columbus agent ID into the website pages to ensure the conversation feature remains active</w:t>
      </w:r>
      <w:r w:rsidDel="00000000" w:rsidR="00000000" w:rsidRPr="00000000">
        <w:rPr>
          <w:rtl w:val="0"/>
        </w:rPr>
      </w:r>
    </w:p>
    <w:p w:rsidR="00000000" w:rsidDel="00000000" w:rsidP="00000000" w:rsidRDefault="00000000" w:rsidRPr="00000000" w14:paraId="00000052">
      <w:pPr>
        <w:numPr>
          <w:ilvl w:val="1"/>
          <w:numId w:val="6"/>
        </w:numPr>
        <w:spacing w:after="360" w:before="0" w:beforeAutospacing="0" w:lineRule="auto"/>
        <w:ind w:left="1440" w:hanging="360"/>
        <w:rPr>
          <w:sz w:val="14"/>
          <w:szCs w:val="14"/>
          <w:shd w:fill="f0f4f9" w:val="clear"/>
        </w:rPr>
      </w:pPr>
      <w:r w:rsidDel="00000000" w:rsidR="00000000" w:rsidRPr="00000000">
        <w:rPr>
          <w:rtl w:val="0"/>
        </w:rPr>
      </w:r>
    </w:p>
    <w:p w:rsidR="00000000" w:rsidDel="00000000" w:rsidP="00000000" w:rsidRDefault="00000000" w:rsidRPr="00000000" w14:paraId="00000053">
      <w:pPr>
        <w:rPr>
          <w:rFonts w:ascii="Roboto" w:cs="Roboto" w:eastAsia="Roboto" w:hAnsi="Roboto"/>
          <w:color w:val="1f1f1f"/>
          <w:sz w:val="24"/>
          <w:szCs w:val="24"/>
          <w:highlight w:val="white"/>
        </w:rPr>
      </w:pPr>
      <w:r w:rsidDel="00000000" w:rsidR="00000000" w:rsidRPr="00000000">
        <w:rPr>
          <w:rFonts w:ascii="Roboto" w:cs="Roboto" w:eastAsia="Roboto" w:hAnsi="Roboto"/>
          <w:color w:val="1f1f1f"/>
          <w:sz w:val="24"/>
          <w:szCs w:val="24"/>
          <w:highlight w:val="white"/>
          <w:rtl w:val="0"/>
        </w:rPr>
        <w:t xml:space="preserve">Expectations and Development Timeline</w:t>
      </w:r>
    </w:p>
    <w:p w:rsidR="00000000" w:rsidDel="00000000" w:rsidP="00000000" w:rsidRDefault="00000000" w:rsidRPr="00000000" w14:paraId="00000054">
      <w:pPr>
        <w:numPr>
          <w:ilvl w:val="0"/>
          <w:numId w:val="10"/>
        </w:numPr>
        <w:shd w:fill="ffffff" w:val="clear"/>
        <w:spacing w:after="0" w:afterAutospacing="0" w:before="240" w:lineRule="auto"/>
        <w:ind w:left="720" w:hanging="360"/>
      </w:pPr>
      <w:r w:rsidDel="00000000" w:rsidR="00000000" w:rsidRPr="00000000">
        <w:rPr>
          <w:rFonts w:ascii="Roboto" w:cs="Roboto" w:eastAsia="Roboto" w:hAnsi="Roboto"/>
          <w:b w:val="1"/>
          <w:bCs w:val="1"/>
          <w:color w:val="1f1f1f"/>
          <w:sz w:val="24"/>
          <w:szCs w:val="24"/>
          <w:rtl w:val="0"/>
        </w:rPr>
        <w:t xml:space="preserve">Tech Stack:</w:t>
      </w:r>
      <w:r w:rsidDel="00000000" w:rsidR="00000000" w:rsidRPr="00000000">
        <w:rPr>
          <w:rFonts w:ascii="Roboto" w:cs="Roboto" w:eastAsia="Roboto" w:hAnsi="Roboto"/>
          <w:color w:val="1f1f1f"/>
          <w:sz w:val="24"/>
          <w:szCs w:val="24"/>
          <w:rtl w:val="0"/>
        </w:rPr>
        <w:t xml:space="preserve"> The team decided to </w:t>
      </w:r>
      <w:r w:rsidDel="00000000" w:rsidR="00000000" w:rsidRPr="00000000">
        <w:rPr>
          <w:rFonts w:ascii="Roboto" w:cs="Roboto" w:eastAsia="Roboto" w:hAnsi="Roboto"/>
          <w:b w:val="1"/>
          <w:bCs w:val="1"/>
          <w:color w:val="1f1f1f"/>
          <w:sz w:val="24"/>
          <w:szCs w:val="24"/>
          <w:rtl w:val="0"/>
        </w:rPr>
        <w:t xml:space="preserve">retain the current WordPress tech stack</w:t>
      </w:r>
      <w:r w:rsidDel="00000000" w:rsidR="00000000" w:rsidRPr="00000000">
        <w:rPr>
          <w:rFonts w:ascii="Roboto" w:cs="Roboto" w:eastAsia="Roboto" w:hAnsi="Roboto"/>
          <w:color w:val="1f1f1f"/>
          <w:sz w:val="24"/>
          <w:szCs w:val="24"/>
          <w:rtl w:val="0"/>
        </w:rPr>
        <w:t xml:space="preserve"> on Bluehost instead of transitioning to new AI-integrated platforms like Claude.</w:t>
      </w:r>
      <w:hyperlink r:id="rId17">
        <w:r w:rsidDel="00000000" w:rsidR="00000000" w:rsidRPr="00000000">
          <w:rPr>
            <w:rFonts w:ascii="Roboto" w:cs="Roboto" w:eastAsia="Roboto" w:hAnsi="Roboto"/>
            <w:color w:val="1f1f1f"/>
            <w:sz w:val="14"/>
            <w:szCs w:val="14"/>
            <w:shd w:fill="f0f4f9" w:val="clear"/>
            <w:rtl w:val="0"/>
          </w:rPr>
          <w:t xml:space="preserve">1</w:t>
        </w:r>
      </w:hyperlink>
      <w:r w:rsidDel="00000000" w:rsidR="00000000" w:rsidRPr="00000000">
        <w:rPr>
          <w:rtl w:val="0"/>
        </w:rPr>
      </w:r>
    </w:p>
    <w:p w:rsidR="00000000" w:rsidDel="00000000" w:rsidP="00000000" w:rsidRDefault="00000000" w:rsidRPr="00000000" w14:paraId="00000055">
      <w:pPr>
        <w:numPr>
          <w:ilvl w:val="0"/>
          <w:numId w:val="10"/>
        </w:numPr>
        <w:shd w:fill="ffffff" w:val="clear"/>
        <w:spacing w:before="0" w:beforeAutospacing="0" w:lineRule="auto"/>
        <w:ind w:left="720" w:hanging="360"/>
        <w:sectPr>
          <w:type w:val="nextPage"/>
          <w:pgSz w:h="15840" w:w="12240" w:orient="portrait"/>
          <w:pgMar w:bottom="1440" w:top="1440" w:left="1440" w:right="1440" w:header="720" w:footer="720"/>
          <w:pgNumType w:start="1"/>
        </w:sectPr>
      </w:pPr>
      <w:commentRangeStart w:id="32"/>
      <w:commentRangeStart w:id="33"/>
      <w:commentRangeStart w:id="34"/>
      <w:r w:rsidDel="00000000" w:rsidR="00000000" w:rsidRPr="00000000">
        <w:rPr>
          <w:rFonts w:ascii="Roboto" w:cs="Roboto" w:eastAsia="Roboto" w:hAnsi="Roboto"/>
          <w:b w:val="1"/>
          <w:bCs w:val="1"/>
          <w:color w:val="1f1f1f"/>
          <w:sz w:val="24"/>
          <w:szCs w:val="24"/>
          <w:rtl w:val="0"/>
        </w:rPr>
        <w:t xml:space="preserve">Next Steps for Niharika:</w:t>
      </w:r>
      <w:r w:rsidDel="00000000" w:rsidR="00000000" w:rsidRPr="00000000">
        <w:rPr>
          <w:rFonts w:ascii="Roboto" w:cs="Roboto" w:eastAsia="Roboto" w:hAnsi="Roboto"/>
          <w:color w:val="1f1f1f"/>
          <w:sz w:val="24"/>
          <w:szCs w:val="24"/>
          <w:rtl w:val="0"/>
        </w:rPr>
        <w:t xml:space="preserve"> </w:t>
      </w:r>
      <w:r w:rsidDel="00000000" w:rsidR="00000000" w:rsidRPr="00000000">
        <w:rPr>
          <w:rFonts w:ascii="Roboto" w:cs="Roboto" w:eastAsia="Roboto" w:hAnsi="Roboto"/>
          <w:b w:val="1"/>
          <w:bCs w:val="1"/>
          <w:color w:val="1f1f1f"/>
          <w:sz w:val="24"/>
          <w:szCs w:val="24"/>
          <w:rtl w:val="0"/>
        </w:rPr>
        <w:t xml:space="preserve">Post-Design:</w:t>
      </w:r>
      <w:r w:rsidDel="00000000" w:rsidR="00000000" w:rsidRPr="00000000">
        <w:rPr>
          <w:rFonts w:ascii="Roboto" w:cs="Roboto" w:eastAsia="Roboto" w:hAnsi="Roboto"/>
          <w:color w:val="1f1f1f"/>
          <w:sz w:val="24"/>
          <w:szCs w:val="24"/>
          <w:rtl w:val="0"/>
        </w:rPr>
        <w:t xml:space="preserve"> Once the website design is finalized, standardize templates for future case studies. </w:t>
      </w:r>
      <w:commentRangeEnd w:id="32"/>
      <w:r w:rsidDel="00000000" w:rsidR="00000000" w:rsidRPr="00000000">
        <w:commentReference w:id="32"/>
      </w:r>
      <w:commentRangeEnd w:id="33"/>
      <w:r w:rsidDel="00000000" w:rsidR="00000000" w:rsidRPr="00000000">
        <w:commentReference w:id="33"/>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0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lx721cd92kus"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57">
      <w:pPr>
        <w:pStyle w:val="Heading2"/>
        <w:spacing w:after="240" w:before="240" w:lineRule="auto"/>
        <w:rPr/>
      </w:pPr>
      <w:bookmarkStart w:colFirst="0" w:colLast="0" w:name="_odq6e9ca7m8o" w:id="13"/>
      <w:bookmarkEnd w:id="13"/>
      <w:commentRangeStart w:id="35"/>
      <w:r w:rsidDel="00000000" w:rsidR="00000000" w:rsidRPr="00000000">
        <w:rPr>
          <w:rtl w:val="0"/>
        </w:rPr>
        <w:t xml:space="preserve">Use Case Template Brainstorming</w:t>
      </w:r>
      <w:commentRangeEnd w:id="35"/>
      <w:r w:rsidDel="00000000" w:rsidR="00000000" w:rsidRPr="00000000">
        <w:commentReference w:id="35"/>
      </w:r>
      <w:r w:rsidDel="00000000" w:rsidR="00000000" w:rsidRPr="00000000">
        <w:rPr>
          <w:rtl w:val="0"/>
        </w:rPr>
        <w:t xml:space="preserve"> &amp; Solving the SEO Problem</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spacing w:after="180" w:before="360"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 Why This Specific Layout Solves Your Twin Problems:</w:t>
      </w:r>
    </w:p>
    <w:p w:rsidR="00000000" w:rsidDel="00000000" w:rsidP="00000000" w:rsidRDefault="00000000" w:rsidRPr="00000000" w14:paraId="0000005A">
      <w:pPr>
        <w:numPr>
          <w:ilvl w:val="0"/>
          <w:numId w:val="7"/>
        </w:numPr>
        <w:spacing w:after="0" w:afterAutospacing="0" w:before="180" w:lineRule="auto"/>
        <w:ind w:left="720" w:hanging="360"/>
      </w:pPr>
      <w:r w:rsidDel="00000000" w:rsidR="00000000" w:rsidRPr="00000000">
        <w:rPr>
          <w:rFonts w:ascii="Google Sans" w:cs="Google Sans" w:eastAsia="Google Sans" w:hAnsi="Google Sans"/>
          <w:b w:val="1"/>
          <w:bCs w:val="1"/>
          <w:sz w:val="24"/>
          <w:szCs w:val="24"/>
          <w:rtl w:val="0"/>
        </w:rPr>
        <w:t xml:space="preserve">For Your SEO/GEO Fix:</w:t>
      </w:r>
      <w:r w:rsidDel="00000000" w:rsidR="00000000" w:rsidRPr="00000000">
        <w:rPr>
          <w:rFonts w:ascii="Google Sans" w:cs="Google Sans" w:eastAsia="Google Sans" w:hAnsi="Google Sans"/>
          <w:sz w:val="24"/>
          <w:szCs w:val="24"/>
          <w:rtl w:val="0"/>
        </w:rPr>
        <w:t xml:space="preserve"> By grouping terms like </w:t>
      </w:r>
      <w:r w:rsidDel="00000000" w:rsidR="00000000" w:rsidRPr="00000000">
        <w:rPr>
          <w:rFonts w:ascii="Google Sans" w:cs="Google Sans" w:eastAsia="Google Sans" w:hAnsi="Google Sans"/>
          <w:i w:val="1"/>
          <w:iCs w:val="1"/>
          <w:sz w:val="24"/>
          <w:szCs w:val="24"/>
          <w:rtl w:val="0"/>
        </w:rPr>
        <w:t xml:space="preserve">"L&amp;D Architecture,"</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iCs w:val="1"/>
          <w:sz w:val="24"/>
          <w:szCs w:val="24"/>
          <w:rtl w:val="0"/>
        </w:rPr>
        <w:t xml:space="preserve">"AI Fluency,"</w:t>
      </w:r>
      <w:r w:rsidDel="00000000" w:rsidR="00000000" w:rsidRPr="00000000">
        <w:rPr>
          <w:rFonts w:ascii="Google Sans" w:cs="Google Sans" w:eastAsia="Google Sans" w:hAnsi="Google Sans"/>
          <w:sz w:val="24"/>
          <w:szCs w:val="24"/>
          <w:rtl w:val="0"/>
        </w:rPr>
        <w:t xml:space="preserve"> </w:t>
      </w:r>
      <w:r w:rsidDel="00000000" w:rsidR="00000000" w:rsidRPr="00000000">
        <w:rPr>
          <w:rFonts w:ascii="Google Sans" w:cs="Google Sans" w:eastAsia="Google Sans" w:hAnsi="Google Sans"/>
          <w:i w:val="1"/>
          <w:iCs w:val="1"/>
          <w:sz w:val="24"/>
          <w:szCs w:val="24"/>
          <w:rtl w:val="0"/>
        </w:rPr>
        <w:t xml:space="preserve">"Instructional Design,"</w:t>
      </w:r>
      <w:r w:rsidDel="00000000" w:rsidR="00000000" w:rsidRPr="00000000">
        <w:rPr>
          <w:rFonts w:ascii="Google Sans" w:cs="Google Sans" w:eastAsia="Google Sans" w:hAnsi="Google Sans"/>
          <w:sz w:val="24"/>
          <w:szCs w:val="24"/>
          <w:rtl w:val="0"/>
        </w:rPr>
        <w:t xml:space="preserve"> and </w:t>
      </w:r>
      <w:r w:rsidDel="00000000" w:rsidR="00000000" w:rsidRPr="00000000">
        <w:rPr>
          <w:rFonts w:ascii="Google Sans" w:cs="Google Sans" w:eastAsia="Google Sans" w:hAnsi="Google Sans"/>
          <w:i w:val="1"/>
          <w:iCs w:val="1"/>
          <w:sz w:val="24"/>
          <w:szCs w:val="24"/>
          <w:rtl w:val="0"/>
        </w:rPr>
        <w:t xml:space="preserve">"Learning Transfer Metrics"</w:t>
      </w:r>
      <w:r w:rsidDel="00000000" w:rsidR="00000000" w:rsidRPr="00000000">
        <w:rPr>
          <w:rFonts w:ascii="Google Sans" w:cs="Google Sans" w:eastAsia="Google Sans" w:hAnsi="Google Sans"/>
          <w:sz w:val="24"/>
          <w:szCs w:val="24"/>
          <w:rtl w:val="0"/>
        </w:rPr>
        <w:t xml:space="preserve"> on a single clean page, search engines will rapidly disassociate this page from "roll forming machinery" at the Bradbury Co. and index you strictly under corporate AI strategy.</w:t>
      </w:r>
    </w:p>
    <w:p w:rsidR="00000000" w:rsidDel="00000000" w:rsidP="00000000" w:rsidRDefault="00000000" w:rsidRPr="00000000" w14:paraId="0000005B">
      <w:pPr>
        <w:numPr>
          <w:ilvl w:val="0"/>
          <w:numId w:val="7"/>
        </w:numPr>
        <w:spacing w:after="0" w:afterAutospacing="0" w:before="0" w:beforeAutospacing="0" w:lineRule="auto"/>
        <w:ind w:left="720" w:hanging="360"/>
      </w:pPr>
      <w:r w:rsidDel="00000000" w:rsidR="00000000" w:rsidRPr="00000000">
        <w:rPr>
          <w:rFonts w:ascii="Google Sans" w:cs="Google Sans" w:eastAsia="Google Sans" w:hAnsi="Google Sans"/>
          <w:b w:val="1"/>
          <w:bCs w:val="1"/>
          <w:sz w:val="24"/>
          <w:szCs w:val="24"/>
          <w:rtl w:val="0"/>
        </w:rPr>
        <w:t xml:space="preserve">For Your Team's "Plug-and-Play": </w:t>
      </w:r>
      <w:r w:rsidDel="00000000" w:rsidR="00000000" w:rsidRPr="00000000">
        <w:rPr>
          <w:rFonts w:ascii="Google Sans" w:cs="Google Sans" w:eastAsia="Google Sans" w:hAnsi="Google Sans"/>
          <w:sz w:val="24"/>
          <w:szCs w:val="24"/>
          <w:rtl w:val="0"/>
        </w:rPr>
        <w:t xml:space="preserve">Your copywriters don't have to write an entire blog post. They just fill in the brackets </w:t>
      </w: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oogle Sans" w:cs="Google Sans" w:eastAsia="Google Sans" w:hAnsi="Google Sans"/>
          <w:sz w:val="24"/>
          <w:szCs w:val="24"/>
          <w:rtl w:val="0"/>
        </w:rPr>
        <w:t xml:space="preserve"> with the specific details of a client engagement.</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Fonts w:ascii="Google Sans" w:cs="Google Sans" w:eastAsia="Google Sans" w:hAnsi="Google Sans"/>
          <w:b w:val="1"/>
          <w:bCs w:val="1"/>
          <w:sz w:val="24"/>
          <w:szCs w:val="24"/>
          <w:rtl w:val="0"/>
        </w:rPr>
        <w:t xml:space="preserve">For Your Web Designer:</w:t>
      </w:r>
      <w:r w:rsidDel="00000000" w:rsidR="00000000" w:rsidRPr="00000000">
        <w:rPr>
          <w:rFonts w:ascii="Google Sans" w:cs="Google Sans" w:eastAsia="Google Sans" w:hAnsi="Google Sans"/>
          <w:sz w:val="24"/>
          <w:szCs w:val="24"/>
          <w:rtl w:val="0"/>
        </w:rPr>
        <w:t xml:space="preserve"> This translates beautifully into standard WordPress core blocks. They only need to save a "Reusable Block Pattern" containing:</w:t>
      </w:r>
    </w:p>
    <w:p w:rsidR="00000000" w:rsidDel="00000000" w:rsidP="00000000" w:rsidRDefault="00000000" w:rsidRPr="00000000" w14:paraId="0000005D">
      <w:pPr>
        <w:numPr>
          <w:ilvl w:val="1"/>
          <w:numId w:val="7"/>
        </w:numPr>
        <w:spacing w:after="0" w:afterAutospacing="0" w:before="0" w:beforeAutospacing="0" w:lineRule="auto"/>
        <w:ind w:left="1440" w:hanging="360"/>
      </w:pPr>
      <w:r w:rsidDel="00000000" w:rsidR="00000000" w:rsidRPr="00000000">
        <w:rPr>
          <w:rFonts w:ascii="Google Sans" w:cs="Google Sans" w:eastAsia="Google Sans" w:hAnsi="Google Sans"/>
          <w:sz w:val="24"/>
          <w:szCs w:val="24"/>
          <w:rtl w:val="0"/>
        </w:rPr>
        <w:t xml:space="preserve">A Text/Header Intro section.</w:t>
      </w:r>
    </w:p>
    <w:p w:rsidR="00000000" w:rsidDel="00000000" w:rsidP="00000000" w:rsidRDefault="00000000" w:rsidRPr="00000000" w14:paraId="0000005E">
      <w:pPr>
        <w:numPr>
          <w:ilvl w:val="1"/>
          <w:numId w:val="7"/>
        </w:numPr>
        <w:spacing w:after="0" w:afterAutospacing="0" w:before="0" w:beforeAutospacing="0" w:lineRule="auto"/>
        <w:ind w:left="1440" w:hanging="360"/>
      </w:pPr>
      <w:r w:rsidDel="00000000" w:rsidR="00000000" w:rsidRPr="00000000">
        <w:rPr>
          <w:rFonts w:ascii="Google Sans" w:cs="Google Sans" w:eastAsia="Google Sans" w:hAnsi="Google Sans"/>
          <w:sz w:val="24"/>
          <w:szCs w:val="24"/>
          <w:rtl w:val="0"/>
        </w:rPr>
        <w:t xml:space="preserve">A 3-column Card or Columns block for the core methodologies.</w:t>
      </w:r>
    </w:p>
    <w:p w:rsidR="00000000" w:rsidDel="00000000" w:rsidP="00000000" w:rsidRDefault="00000000" w:rsidRPr="00000000" w14:paraId="0000005F">
      <w:pPr>
        <w:numPr>
          <w:ilvl w:val="1"/>
          <w:numId w:val="7"/>
        </w:numPr>
        <w:spacing w:after="840" w:before="0" w:beforeAutospacing="0" w:lineRule="auto"/>
        <w:ind w:left="1440" w:hanging="360"/>
      </w:pPr>
      <w:r w:rsidDel="00000000" w:rsidR="00000000" w:rsidRPr="00000000">
        <w:rPr>
          <w:rFonts w:ascii="Google Sans" w:cs="Google Sans" w:eastAsia="Google Sans" w:hAnsi="Google Sans"/>
          <w:sz w:val="24"/>
          <w:szCs w:val="24"/>
          <w:rtl w:val="0"/>
        </w:rPr>
        <w:t xml:space="preserve">A 3-column counter/stat layout for the dashboard. [</w:t>
      </w:r>
      <w:hyperlink r:id="rId18">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Fonts w:ascii="Google Sans" w:cs="Google Sans" w:eastAsia="Google Sans" w:hAnsi="Google Sans"/>
          <w:sz w:val="24"/>
          <w:szCs w:val="24"/>
          <w:rtl w:val="0"/>
        </w:rPr>
        <w:t xml:space="preserve">,</w:t>
      </w:r>
      <w:hyperlink r:id="rId19">
        <w:r w:rsidDel="00000000" w:rsidR="00000000" w:rsidRPr="00000000">
          <w:rPr>
            <w:rFonts w:ascii="Google Sans" w:cs="Google Sans" w:eastAsia="Google Sans" w:hAnsi="Google Sans"/>
            <w:sz w:val="24"/>
            <w:szCs w:val="24"/>
            <w:rtl w:val="0"/>
          </w:rPr>
          <w:t xml:space="preserve"> </w:t>
        </w:r>
      </w:hyperlink>
      <w:hyperlink r:id="rId20">
        <w:r w:rsidDel="00000000" w:rsidR="00000000" w:rsidRPr="00000000">
          <w:rPr>
            <w:rFonts w:ascii="Google Sans" w:cs="Google Sans" w:eastAsia="Google Sans" w:hAnsi="Google Sans"/>
            <w:color w:val="1155cc"/>
            <w:sz w:val="24"/>
            <w:szCs w:val="24"/>
            <w:u w:val="single"/>
            <w:rtl w:val="0"/>
          </w:rPr>
          <w:t xml:space="preserve">2</w:t>
        </w:r>
      </w:hyperlink>
      <w:r w:rsidDel="00000000" w:rsidR="00000000" w:rsidRPr="00000000">
        <w:rPr>
          <w:rFonts w:ascii="Google Sans" w:cs="Google Sans" w:eastAsia="Google Sans" w:hAnsi="Google Sans"/>
          <w:sz w:val="24"/>
          <w:szCs w:val="24"/>
          <w:rtl w:val="0"/>
        </w:rPr>
        <w:t xml:space="preserve">,</w:t>
      </w:r>
      <w:hyperlink r:id="rId21">
        <w:r w:rsidDel="00000000" w:rsidR="00000000" w:rsidRPr="00000000">
          <w:rPr>
            <w:rFonts w:ascii="Google Sans" w:cs="Google Sans" w:eastAsia="Google Sans" w:hAnsi="Google Sans"/>
            <w:sz w:val="24"/>
            <w:szCs w:val="24"/>
            <w:rtl w:val="0"/>
          </w:rPr>
          <w:t xml:space="preserve"> </w:t>
        </w:r>
      </w:hyperlink>
      <w:hyperlink r:id="rId22">
        <w:r w:rsidDel="00000000" w:rsidR="00000000" w:rsidRPr="00000000">
          <w:rPr>
            <w:rFonts w:ascii="Google Sans" w:cs="Google Sans" w:eastAsia="Google Sans" w:hAnsi="Google Sans"/>
            <w:color w:val="1155cc"/>
            <w:sz w:val="24"/>
            <w:szCs w:val="24"/>
            <w:u w:val="single"/>
            <w:rtl w:val="0"/>
          </w:rPr>
          <w:t xml:space="preserve">3</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0">
      <w:pPr>
        <w:spacing w:after="240" w:before="18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Because your target audience consists of reluctant leaders, corporate VPs, and L&amp;D professionals, your template needs to showcase exactly how you bridge the gap between human learning sciences and AI performance. It should target your framework concepts—like moving people from "Overwhelm to One Thing" or trading basic smile sheets for Learning Transfer Metrics (LTEM). [</w:t>
      </w:r>
      <w:hyperlink r:id="rId23">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1">
      <w:pPr>
        <w:spacing w:after="240" w:before="18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following plug-and-play WordPress Gutenberg template is optimized for scannability, SEO relevance, and quick team inputs.</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180" w:before="360"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 AI Adoption Case Study: [Client Name / Industry]</w:t>
      </w:r>
    </w:p>
    <w:p w:rsidR="00000000" w:rsidDel="00000000" w:rsidP="00000000" w:rsidRDefault="00000000" w:rsidRPr="00000000" w14:paraId="00000064">
      <w:pPr>
        <w:spacing w:after="180" w:before="360"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 The Humans-in-the-Loop Transformation</w:t>
      </w:r>
    </w:p>
    <w:p w:rsidR="00000000" w:rsidDel="00000000" w:rsidP="00000000" w:rsidRDefault="00000000" w:rsidRPr="00000000" w14:paraId="00000065">
      <w:pPr>
        <w:numPr>
          <w:ilvl w:val="0"/>
          <w:numId w:val="3"/>
        </w:numPr>
        <w:spacing w:after="0" w:afterAutospacing="0" w:before="180" w:lineRule="auto"/>
        <w:ind w:left="720" w:hanging="360"/>
      </w:pPr>
      <w:r w:rsidDel="00000000" w:rsidR="00000000" w:rsidRPr="00000000">
        <w:rPr>
          <w:rFonts w:ascii="Google Sans" w:cs="Google Sans" w:eastAsia="Google Sans" w:hAnsi="Google Sans"/>
          <w:b w:val="1"/>
          <w:bCs w:val="1"/>
          <w:sz w:val="24"/>
          <w:szCs w:val="24"/>
          <w:rtl w:val="0"/>
        </w:rPr>
        <w:t xml:space="preserve">The Core Challenge: </w:t>
      </w:r>
      <w:r w:rsidDel="00000000" w:rsidR="00000000" w:rsidRPr="00000000">
        <w:rPr>
          <w:rFonts w:ascii="Google Sans" w:cs="Google Sans" w:eastAsia="Google Sans" w:hAnsi="Google Sans"/>
          <w:sz w:val="24"/>
          <w:szCs w:val="24"/>
          <w:rtl w:val="0"/>
        </w:rPr>
        <w:t xml:space="preserve">[Insert 1-sentence hurdle, e.g., Mid-level L&amp;D professionals felt overwhelmed by AI tools, stalling enterprise adoption [.]</w:t>
      </w:r>
    </w:p>
    <w:p w:rsidR="00000000" w:rsidDel="00000000" w:rsidP="00000000" w:rsidRDefault="00000000" w:rsidRPr="00000000" w14:paraId="00000066">
      <w:pPr>
        <w:numPr>
          <w:ilvl w:val="0"/>
          <w:numId w:val="3"/>
        </w:numPr>
        <w:spacing w:after="0" w:afterAutospacing="0" w:before="0" w:beforeAutospacing="0" w:lineRule="auto"/>
        <w:ind w:left="720" w:hanging="360"/>
      </w:pPr>
      <w:r w:rsidDel="00000000" w:rsidR="00000000" w:rsidRPr="00000000">
        <w:rPr>
          <w:rFonts w:ascii="Google Sans" w:cs="Google Sans" w:eastAsia="Google Sans" w:hAnsi="Google Sans"/>
          <w:b w:val="1"/>
          <w:bCs w:val="1"/>
          <w:sz w:val="24"/>
          <w:szCs w:val="24"/>
          <w:rtl w:val="0"/>
        </w:rPr>
        <w:t xml:space="preserve">The Strategic Solution:</w:t>
      </w:r>
      <w:r w:rsidDel="00000000" w:rsidR="00000000" w:rsidRPr="00000000">
        <w:rPr>
          <w:rFonts w:ascii="Google Sans" w:cs="Google Sans" w:eastAsia="Google Sans" w:hAnsi="Google Sans"/>
          <w:sz w:val="24"/>
          <w:szCs w:val="24"/>
          <w:rtl w:val="0"/>
        </w:rPr>
        <w:t xml:space="preserve"> [Insert 1-sentence framework, e.g., Deployed a tiered AI Fluency program focused on practical workflows and psychological safety [.]</w:t>
      </w:r>
    </w:p>
    <w:p w:rsidR="00000000" w:rsidDel="00000000" w:rsidP="00000000" w:rsidRDefault="00000000" w:rsidRPr="00000000" w14:paraId="00000067">
      <w:pPr>
        <w:numPr>
          <w:ilvl w:val="0"/>
          <w:numId w:val="3"/>
        </w:numPr>
        <w:spacing w:after="420" w:before="0" w:beforeAutospacing="0" w:lineRule="auto"/>
        <w:ind w:left="720" w:hanging="360"/>
      </w:pPr>
      <w:r w:rsidDel="00000000" w:rsidR="00000000" w:rsidRPr="00000000">
        <w:rPr>
          <w:rFonts w:ascii="Google Sans" w:cs="Google Sans" w:eastAsia="Google Sans" w:hAnsi="Google Sans"/>
          <w:b w:val="1"/>
          <w:bCs w:val="1"/>
          <w:sz w:val="24"/>
          <w:szCs w:val="24"/>
          <w:rtl w:val="0"/>
        </w:rPr>
        <w:t xml:space="preserve">The Target Outcome</w:t>
      </w:r>
      <w:r w:rsidDel="00000000" w:rsidR="00000000" w:rsidRPr="00000000">
        <w:rPr>
          <w:rFonts w:ascii="Google Sans" w:cs="Google Sans" w:eastAsia="Google Sans" w:hAnsi="Google Sans"/>
          <w:sz w:val="24"/>
          <w:szCs w:val="24"/>
          <w:rtl w:val="0"/>
        </w:rPr>
        <w:t xml:space="preserve">: [X]% [Insert Primary Metric, e.g., Increase in Content Production Speed / Drop in Development Time [</w:t>
      </w:r>
      <w:hyperlink r:id="rId24">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spacing w:after="180" w:before="360"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 The Learning Science &amp; L&amp;D Architecture</w:t>
      </w:r>
    </w:p>
    <w:p w:rsidR="00000000" w:rsidDel="00000000" w:rsidP="00000000" w:rsidRDefault="00000000" w:rsidRPr="00000000" w14:paraId="0000006A">
      <w:pPr>
        <w:spacing w:after="240" w:before="180" w:lineRule="auto"/>
        <w:rPr>
          <w:rFonts w:ascii="Google Sans" w:cs="Google Sans" w:eastAsia="Google Sans" w:hAnsi="Google Sans"/>
          <w:sz w:val="24"/>
          <w:szCs w:val="24"/>
        </w:rPr>
      </w:pPr>
      <w:r w:rsidDel="00000000" w:rsidR="00000000" w:rsidRPr="00000000">
        <w:rPr>
          <w:rFonts w:ascii="Google Sans" w:cs="Google Sans" w:eastAsia="Google Sans" w:hAnsi="Google Sans"/>
          <w:i w:val="1"/>
          <w:iCs w:val="1"/>
          <w:sz w:val="24"/>
          <w:szCs w:val="24"/>
          <w:rtl w:val="0"/>
        </w:rPr>
        <w:t xml:space="preserve">How we move teams from AI overwhelm to data-trackable business performance.</w:t>
      </w:r>
      <w:r w:rsidDel="00000000" w:rsidR="00000000" w:rsidRPr="00000000">
        <w:rPr>
          <w:rFonts w:ascii="Google Sans" w:cs="Google Sans" w:eastAsia="Google Sans" w:hAnsi="Google Sans"/>
          <w:sz w:val="24"/>
          <w:szCs w:val="24"/>
          <w:rtl w:val="0"/>
        </w:rPr>
        <w:t xml:space="preserve"> [</w:t>
      </w:r>
      <w:hyperlink r:id="rId25">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Fonts w:ascii="Google Sans" w:cs="Google Sans" w:eastAsia="Google Sans" w:hAnsi="Google Sans"/>
          <w:sz w:val="24"/>
          <w:szCs w:val="24"/>
          <w:rtl w:val="0"/>
        </w:rPr>
        <w:t xml:space="preserve">,</w:t>
      </w:r>
      <w:hyperlink r:id="rId26">
        <w:r w:rsidDel="00000000" w:rsidR="00000000" w:rsidRPr="00000000">
          <w:rPr>
            <w:rFonts w:ascii="Google Sans" w:cs="Google Sans" w:eastAsia="Google Sans" w:hAnsi="Google Sans"/>
            <w:sz w:val="24"/>
            <w:szCs w:val="24"/>
            <w:rtl w:val="0"/>
          </w:rPr>
          <w:t xml:space="preserve"> </w:t>
        </w:r>
      </w:hyperlink>
      <w:hyperlink r:id="rId27">
        <w:r w:rsidDel="00000000" w:rsidR="00000000" w:rsidRPr="00000000">
          <w:rPr>
            <w:rFonts w:ascii="Google Sans" w:cs="Google Sans" w:eastAsia="Google Sans" w:hAnsi="Google Sans"/>
            <w:color w:val="1155cc"/>
            <w:sz w:val="24"/>
            <w:szCs w:val="24"/>
            <w:u w:val="single"/>
            <w:rtl w:val="0"/>
          </w:rPr>
          <w:t xml:space="preserve">2</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6B">
      <w:pPr>
        <w:rPr>
          <w:rFonts w:ascii="Roboto Mono" w:cs="Roboto Mono" w:eastAsia="Roboto Mono" w:hAnsi="Roboto Mono"/>
          <w:color w:val="188038"/>
          <w:sz w:val="21"/>
          <w:szCs w:val="21"/>
        </w:rPr>
      </w:pPr>
      <w:r w:rsidDel="00000000" w:rsidR="00000000" w:rsidRPr="00000000">
        <w:rPr>
          <w:rFonts w:ascii="Google Sans" w:cs="Google Sans" w:eastAsia="Google Sans" w:hAnsi="Google Sans"/>
          <w:color w:val="188038"/>
          <w:sz w:val="24"/>
          <w:szCs w:val="24"/>
          <w:rtl w:val="0"/>
        </w:rPr>
        <w:t xml:space="preserve"></w:t>
      </w:r>
      <w:r w:rsidDel="00000000" w:rsidR="00000000" w:rsidRPr="00000000">
        <w:rPr>
          <w:rFonts w:ascii="Roboto Mono" w:cs="Roboto Mono" w:eastAsia="Roboto Mono" w:hAnsi="Roboto Mono"/>
          <w:color w:val="188038"/>
          <w:sz w:val="21"/>
          <w:szCs w:val="21"/>
          <w:rtl w:val="0"/>
        </w:rPr>
        <w:t xml:space="preserve">[Web Designer: Layout this section as a 3-column row of standard WordPress Card Blocks]</w:t>
      </w:r>
    </w:p>
    <w:p w:rsidR="00000000" w:rsidDel="00000000" w:rsidP="00000000" w:rsidRDefault="00000000" w:rsidRPr="00000000" w14:paraId="0000006C">
      <w:pPr>
        <w:rPr>
          <w:rFonts w:ascii="Courier New" w:cs="Courier New" w:eastAsia="Courier New" w:hAnsi="Courier New"/>
          <w:sz w:val="21"/>
          <w:szCs w:val="21"/>
        </w:rPr>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4.9044585987263"/>
        <w:gridCol w:w="3179.617834394904"/>
        <w:gridCol w:w="3045.477707006369"/>
        <w:tblGridChange w:id="0">
          <w:tblGrid>
            <w:gridCol w:w="3134.9044585987263"/>
            <w:gridCol w:w="3179.617834394904"/>
            <w:gridCol w:w="3045.477707006369"/>
          </w:tblGrid>
        </w:tblGridChange>
      </w:tblGrid>
      <w:tr>
        <w:trPr>
          <w:cantSplit w:val="0"/>
          <w:trHeight w:val="770" w:hRule="atLeast"/>
          <w:tblHeader w:val="0"/>
        </w:trPr>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06D">
            <w:pPr>
              <w:spacing w:after="180" w:before="60" w:lineRule="auto"/>
              <w:jc w:val="cente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 1. Overwhelm to "One Thing" [,</w:t>
            </w:r>
            <w:hyperlink r:id="rId28">
              <w:r w:rsidDel="00000000" w:rsidR="00000000" w:rsidRPr="00000000">
                <w:rPr>
                  <w:rFonts w:ascii="Google Sans" w:cs="Google Sans" w:eastAsia="Google Sans" w:hAnsi="Google Sans"/>
                  <w:b w:val="1"/>
                  <w:bCs w:val="1"/>
                  <w:sz w:val="21"/>
                  <w:szCs w:val="21"/>
                  <w:rtl w:val="0"/>
                </w:rPr>
                <w:t xml:space="preserve"> </w:t>
              </w:r>
            </w:hyperlink>
            <w:hyperlink r:id="rId29">
              <w:r w:rsidDel="00000000" w:rsidR="00000000" w:rsidRPr="00000000">
                <w:rPr>
                  <w:rFonts w:ascii="Google Sans" w:cs="Google Sans" w:eastAsia="Google Sans" w:hAnsi="Google Sans"/>
                  <w:b w:val="1"/>
                  <w:bCs w:val="1"/>
                  <w:color w:val="1155cc"/>
                  <w:sz w:val="21"/>
                  <w:szCs w:val="21"/>
                  <w:u w:val="single"/>
                  <w:rtl w:val="0"/>
                </w:rPr>
                <w:t xml:space="preserve">2</w:t>
              </w:r>
            </w:hyperlink>
            <w:r w:rsidDel="00000000" w:rsidR="00000000" w:rsidRPr="00000000">
              <w:rPr>
                <w:rFonts w:ascii="Google Sans" w:cs="Google Sans" w:eastAsia="Google Sans" w:hAnsi="Google Sans"/>
                <w:b w:val="1"/>
                <w:bCs w:val="1"/>
                <w:sz w:val="21"/>
                <w:szCs w:val="21"/>
                <w:rtl w:val="0"/>
              </w:rPr>
              <w:t xml:space="preserve">,</w:t>
            </w:r>
            <w:hyperlink r:id="rId30">
              <w:r w:rsidDel="00000000" w:rsidR="00000000" w:rsidRPr="00000000">
                <w:rPr>
                  <w:rFonts w:ascii="Google Sans" w:cs="Google Sans" w:eastAsia="Google Sans" w:hAnsi="Google Sans"/>
                  <w:b w:val="1"/>
                  <w:bCs w:val="1"/>
                  <w:sz w:val="21"/>
                  <w:szCs w:val="21"/>
                  <w:rtl w:val="0"/>
                </w:rPr>
                <w:t xml:space="preserve"> </w:t>
              </w:r>
            </w:hyperlink>
            <w:hyperlink r:id="rId31">
              <w:r w:rsidDel="00000000" w:rsidR="00000000" w:rsidRPr="00000000">
                <w:rPr>
                  <w:rFonts w:ascii="Google Sans" w:cs="Google Sans" w:eastAsia="Google Sans" w:hAnsi="Google Sans"/>
                  <w:b w:val="1"/>
                  <w:bCs w:val="1"/>
                  <w:color w:val="1155cc"/>
                  <w:sz w:val="21"/>
                  <w:szCs w:val="21"/>
                  <w:u w:val="single"/>
                  <w:rtl w:val="0"/>
                </w:rPr>
                <w:t xml:space="preserve">3</w:t>
              </w:r>
            </w:hyperlink>
            <w:r w:rsidDel="00000000" w:rsidR="00000000" w:rsidRPr="00000000">
              <w:rPr>
                <w:rFonts w:ascii="Google Sans" w:cs="Google Sans" w:eastAsia="Google Sans" w:hAnsi="Google Sans"/>
                <w:b w:val="1"/>
                <w:bCs w:val="1"/>
                <w:sz w:val="21"/>
                <w:szCs w:val="21"/>
                <w:rtl w:val="0"/>
              </w:rPr>
              <w:t xml:space="preserve">,</w:t>
            </w:r>
            <w:hyperlink r:id="rId32">
              <w:r w:rsidDel="00000000" w:rsidR="00000000" w:rsidRPr="00000000">
                <w:rPr>
                  <w:rFonts w:ascii="Google Sans" w:cs="Google Sans" w:eastAsia="Google Sans" w:hAnsi="Google Sans"/>
                  <w:b w:val="1"/>
                  <w:bCs w:val="1"/>
                  <w:sz w:val="21"/>
                  <w:szCs w:val="21"/>
                  <w:rtl w:val="0"/>
                </w:rPr>
                <w:t xml:space="preserve"> </w:t>
              </w:r>
            </w:hyperlink>
            <w:hyperlink r:id="rId33">
              <w:r w:rsidDel="00000000" w:rsidR="00000000" w:rsidRPr="00000000">
                <w:rPr>
                  <w:rFonts w:ascii="Google Sans" w:cs="Google Sans" w:eastAsia="Google Sans" w:hAnsi="Google Sans"/>
                  <w:b w:val="1"/>
                  <w:bCs w:val="1"/>
                  <w:color w:val="1155cc"/>
                  <w:sz w:val="21"/>
                  <w:szCs w:val="21"/>
                  <w:u w:val="single"/>
                  <w:rtl w:val="0"/>
                </w:rPr>
                <w:t xml:space="preserve">4</w:t>
              </w:r>
            </w:hyperlink>
            <w:r w:rsidDel="00000000" w:rsidR="00000000" w:rsidRPr="00000000">
              <w:rPr>
                <w:rFonts w:ascii="Google Sans" w:cs="Google Sans" w:eastAsia="Google Sans" w:hAnsi="Google Sans"/>
                <w:b w:val="1"/>
                <w:bCs w:val="1"/>
                <w:sz w:val="21"/>
                <w:szCs w:val="21"/>
                <w:rtl w:val="0"/>
              </w:rPr>
              <w:t xml:space="preserve">]</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06E">
            <w:pPr>
              <w:spacing w:after="180" w:before="60" w:lineRule="auto"/>
              <w:jc w:val="cente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 2. Active Skill Experimentation</w:t>
            </w:r>
            <w:r w:rsidDel="00000000" w:rsidR="00000000" w:rsidRPr="00000000">
              <w:rPr>
                <w:rtl w:val="0"/>
              </w:rPr>
            </w:r>
          </w:p>
        </w:tc>
        <w:tc>
          <w:tcPr>
            <w:tcBorders>
              <w:top w:color="000000" w:space="0" w:sz="0" w:val="nil"/>
              <w:left w:color="000000" w:space="0" w:sz="0" w:val="nil"/>
              <w:bottom w:color="dcdfe5" w:space="0" w:sz="5" w:val="single"/>
              <w:right w:color="000000" w:space="0" w:sz="0" w:val="nil"/>
            </w:tcBorders>
          </w:tcPr>
          <w:p w:rsidR="00000000" w:rsidDel="00000000" w:rsidP="00000000" w:rsidRDefault="00000000" w:rsidRPr="00000000" w14:paraId="0000006F">
            <w:pPr>
              <w:spacing w:after="180" w:before="60" w:lineRule="auto"/>
              <w:jc w:val="center"/>
              <w:rPr>
                <w:rFonts w:ascii="Google Sans" w:cs="Google Sans" w:eastAsia="Google Sans" w:hAnsi="Google Sans"/>
                <w:sz w:val="21"/>
                <w:szCs w:val="21"/>
              </w:rPr>
            </w:pPr>
            <w:r w:rsidDel="00000000" w:rsidR="00000000" w:rsidRPr="00000000">
              <w:rPr>
                <w:rFonts w:ascii="Google Sans" w:cs="Google Sans" w:eastAsia="Google Sans" w:hAnsi="Google Sans"/>
                <w:b w:val="1"/>
                <w:bCs w:val="1"/>
                <w:sz w:val="21"/>
                <w:szCs w:val="21"/>
                <w:rtl w:val="0"/>
              </w:rPr>
              <w:t xml:space="preserve">🎯 3. Measuring LTEM (ROI)</w:t>
            </w:r>
            <w:r w:rsidDel="00000000" w:rsidR="00000000" w:rsidRPr="00000000">
              <w:rPr>
                <w:rtl w:val="0"/>
              </w:rPr>
            </w:r>
          </w:p>
        </w:tc>
      </w:tr>
      <w:tr>
        <w:trPr>
          <w:cantSplit w:val="0"/>
          <w:trHeight w:val="1505" w:hRule="atLeast"/>
          <w:tblHeader w:val="0"/>
        </w:trPr>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070">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Methodology:</w:t>
            </w:r>
          </w:p>
          <w:p w:rsidR="00000000" w:rsidDel="00000000" w:rsidP="00000000" w:rsidRDefault="00000000" w:rsidRPr="00000000" w14:paraId="00000071">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Mitigating cognitive load. We skip generic tool-dumping and isolate one immediate operational pain point to solve.</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072">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Methodology:</w:t>
            </w:r>
          </w:p>
          <w:p w:rsidR="00000000" w:rsidDel="00000000" w:rsidP="00000000" w:rsidRDefault="00000000" w:rsidRPr="00000000" w14:paraId="00000073">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Moving past passive lectures. We design psychologically safe, hands-on environments for live prompt library building.</w:t>
            </w:r>
          </w:p>
        </w:tc>
        <w:tc>
          <w:tcPr>
            <w:tcBorders>
              <w:top w:color="dcdfe5" w:space="0" w:sz="5" w:val="single"/>
              <w:left w:color="000000" w:space="0" w:sz="0" w:val="nil"/>
              <w:bottom w:color="dcdfe5" w:space="0" w:sz="5" w:val="single"/>
              <w:right w:color="000000" w:space="0" w:sz="0" w:val="nil"/>
            </w:tcBorders>
          </w:tcPr>
          <w:p w:rsidR="00000000" w:rsidDel="00000000" w:rsidP="00000000" w:rsidRDefault="00000000" w:rsidRPr="00000000" w14:paraId="00000074">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Methodology:</w:t>
            </w:r>
          </w:p>
          <w:p w:rsidR="00000000" w:rsidDel="00000000" w:rsidP="00000000" w:rsidRDefault="00000000" w:rsidRPr="00000000" w14:paraId="00000075">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Replacing vanity metrics. We architect evaluation loops that track actual behavioral transfer and time saved.</w:t>
            </w:r>
          </w:p>
        </w:tc>
      </w:tr>
      <w:tr>
        <w:trPr>
          <w:cantSplit w:val="0"/>
          <w:trHeight w:val="1490" w:hRule="atLeast"/>
          <w:tblHeader w:val="0"/>
        </w:trPr>
        <w:tc>
          <w:tcPr>
            <w:tcBorders>
              <w:top w:color="dcdfe5" w:space="0" w:sz="5" w:val="single"/>
              <w:left w:color="000000" w:space="0" w:sz="0" w:val="nil"/>
              <w:right w:color="000000" w:space="0" w:sz="0" w:val="nil"/>
            </w:tcBorders>
          </w:tcPr>
          <w:p w:rsidR="00000000" w:rsidDel="00000000" w:rsidP="00000000" w:rsidRDefault="00000000" w:rsidRPr="00000000" w14:paraId="00000076">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Implementation:</w:t>
            </w:r>
          </w:p>
          <w:p w:rsidR="00000000" w:rsidDel="00000000" w:rsidP="00000000" w:rsidRDefault="00000000" w:rsidRPr="00000000" w14:paraId="00000077">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[e.g., Audited existing L&amp;D workflows and selected one high-friction bottleneck to automate.]</w:t>
            </w:r>
          </w:p>
        </w:tc>
        <w:tc>
          <w:tcPr>
            <w:tcBorders>
              <w:top w:color="dcdfe5" w:space="0" w:sz="5" w:val="single"/>
              <w:left w:color="000000" w:space="0" w:sz="0" w:val="nil"/>
              <w:right w:color="000000" w:space="0" w:sz="0" w:val="nil"/>
            </w:tcBorders>
          </w:tcPr>
          <w:p w:rsidR="00000000" w:rsidDel="00000000" w:rsidP="00000000" w:rsidRDefault="00000000" w:rsidRPr="00000000" w14:paraId="00000078">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Implementation:</w:t>
            </w:r>
          </w:p>
          <w:p w:rsidR="00000000" w:rsidDel="00000000" w:rsidP="00000000" w:rsidRDefault="00000000" w:rsidRPr="00000000" w14:paraId="00000079">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[e.g., Guided a cohort through iterative prompt design and building an agentic workspace pilot.]</w:t>
            </w:r>
          </w:p>
        </w:tc>
        <w:tc>
          <w:tcPr>
            <w:tcBorders>
              <w:top w:color="dcdfe5" w:space="0" w:sz="5" w:val="single"/>
              <w:left w:color="000000" w:space="0" w:sz="0" w:val="nil"/>
              <w:right w:color="000000" w:space="0" w:sz="0" w:val="nil"/>
            </w:tcBorders>
          </w:tcPr>
          <w:p w:rsidR="00000000" w:rsidDel="00000000" w:rsidP="00000000" w:rsidRDefault="00000000" w:rsidRPr="00000000" w14:paraId="0000007A">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The Implementation:</w:t>
            </w:r>
          </w:p>
          <w:p w:rsidR="00000000" w:rsidDel="00000000" w:rsidP="00000000" w:rsidRDefault="00000000" w:rsidRPr="00000000" w14:paraId="0000007B">
            <w:pPr>
              <w:spacing w:after="180" w:before="60" w:lineRule="auto"/>
              <w:rPr>
                <w:rFonts w:ascii="Google Sans" w:cs="Google Sans" w:eastAsia="Google Sans" w:hAnsi="Google Sans"/>
                <w:sz w:val="21"/>
                <w:szCs w:val="21"/>
              </w:rPr>
            </w:pPr>
            <w:r w:rsidDel="00000000" w:rsidR="00000000" w:rsidRPr="00000000">
              <w:rPr>
                <w:rFonts w:ascii="Google Sans" w:cs="Google Sans" w:eastAsia="Google Sans" w:hAnsi="Google Sans"/>
                <w:sz w:val="21"/>
                <w:szCs w:val="21"/>
                <w:rtl w:val="0"/>
              </w:rPr>
              <w:t xml:space="preserve">[e.g., Validated performance via Will Thalheimer’s Learning Evaluation-Transfer Model [.]</w:t>
            </w:r>
          </w:p>
        </w:tc>
      </w:tr>
    </w:tbl>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180" w:before="360"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 AI Literacy &amp; Performance Dashboard</w:t>
      </w:r>
    </w:p>
    <w:p w:rsidR="00000000" w:rsidDel="00000000" w:rsidP="00000000" w:rsidRDefault="00000000" w:rsidRPr="00000000" w14:paraId="0000007E">
      <w:pPr>
        <w:rPr>
          <w:rFonts w:ascii="Roboto Mono" w:cs="Roboto Mono" w:eastAsia="Roboto Mono" w:hAnsi="Roboto Mono"/>
          <w:color w:val="188038"/>
          <w:sz w:val="21"/>
          <w:szCs w:val="21"/>
        </w:rPr>
      </w:pPr>
      <w:r w:rsidDel="00000000" w:rsidR="00000000" w:rsidRPr="00000000">
        <w:rPr>
          <w:rFonts w:ascii="Google Sans" w:cs="Google Sans" w:eastAsia="Google Sans" w:hAnsi="Google Sans"/>
          <w:color w:val="188038"/>
          <w:sz w:val="30"/>
          <w:szCs w:val="30"/>
          <w:rtl w:val="0"/>
        </w:rPr>
        <w:t xml:space="preserve"></w:t>
      </w:r>
      <w:r w:rsidDel="00000000" w:rsidR="00000000" w:rsidRPr="00000000">
        <w:rPr>
          <w:rFonts w:ascii="Roboto Mono" w:cs="Roboto Mono" w:eastAsia="Roboto Mono" w:hAnsi="Roboto Mono"/>
          <w:color w:val="188038"/>
          <w:sz w:val="21"/>
          <w:szCs w:val="21"/>
          <w:rtl w:val="0"/>
        </w:rPr>
        <w:t xml:space="preserve">[Web Designer: Use a standard Columns Block to create large stat callouts with prominent numbers]</w:t>
      </w:r>
    </w:p>
    <w:p w:rsidR="00000000" w:rsidDel="00000000" w:rsidP="00000000" w:rsidRDefault="00000000" w:rsidRPr="00000000" w14:paraId="0000007F">
      <w:pPr>
        <w:numPr>
          <w:ilvl w:val="0"/>
          <w:numId w:val="5"/>
        </w:numPr>
        <w:spacing w:after="0" w:afterAutospacing="0" w:before="180" w:lineRule="auto"/>
        <w:ind w:left="720" w:hanging="360"/>
      </w:pPr>
      <w:r w:rsidDel="00000000" w:rsidR="00000000" w:rsidRPr="00000000">
        <w:rPr>
          <w:rFonts w:ascii="Courier New" w:cs="Courier New" w:eastAsia="Courier New" w:hAnsi="Courier New"/>
          <w:color w:val="188038"/>
          <w:sz w:val="21"/>
          <w:szCs w:val="21"/>
          <w:rtl w:val="0"/>
        </w:rPr>
        <w:t xml:space="preserve"></w:t>
      </w:r>
      <w:r w:rsidDel="00000000" w:rsidR="00000000" w:rsidRPr="00000000">
        <w:rPr>
          <w:rFonts w:ascii="Google Sans" w:cs="Google Sans" w:eastAsia="Google Sans" w:hAnsi="Google Sans"/>
          <w:sz w:val="24"/>
          <w:szCs w:val="24"/>
          <w:rtl w:val="0"/>
        </w:rPr>
        <w:t xml:space="preserve">⏱️ [X] Hours Saved: Average time reclaimed per week by the instructional design team.</w:t>
      </w:r>
    </w:p>
    <w:p w:rsidR="00000000" w:rsidDel="00000000" w:rsidP="00000000" w:rsidRDefault="00000000" w:rsidRPr="00000000" w14:paraId="00000080">
      <w:pPr>
        <w:numPr>
          <w:ilvl w:val="0"/>
          <w:numId w:val="5"/>
        </w:numPr>
        <w:spacing w:after="0" w:afterAutospacing="0" w:before="0" w:beforeAutospacing="0" w:lineRule="auto"/>
        <w:ind w:left="720" w:hanging="360"/>
      </w:pPr>
      <w:r w:rsidDel="00000000" w:rsidR="00000000" w:rsidRPr="00000000">
        <w:rPr>
          <w:rFonts w:ascii="Google Sans" w:cs="Google Sans" w:eastAsia="Google Sans" w:hAnsi="Google Sans"/>
          <w:sz w:val="24"/>
          <w:szCs w:val="24"/>
          <w:rtl w:val="0"/>
        </w:rPr>
        <w:t xml:space="preserve">🚀 [X]% Adoption Rate: Sustained workforce utilization of custom enterprise AI assistants over 90 days.</w:t>
      </w:r>
    </w:p>
    <w:p w:rsidR="00000000" w:rsidDel="00000000" w:rsidP="00000000" w:rsidRDefault="00000000" w:rsidRPr="00000000" w14:paraId="00000081">
      <w:pPr>
        <w:numPr>
          <w:ilvl w:val="0"/>
          <w:numId w:val="5"/>
        </w:numPr>
        <w:spacing w:after="420" w:before="0" w:beforeAutospacing="0" w:lineRule="auto"/>
        <w:ind w:left="720" w:hanging="360"/>
      </w:pPr>
      <w:r w:rsidDel="00000000" w:rsidR="00000000" w:rsidRPr="00000000">
        <w:rPr>
          <w:rFonts w:ascii="Google Sans" w:cs="Google Sans" w:eastAsia="Google Sans" w:hAnsi="Google Sans"/>
          <w:sz w:val="24"/>
          <w:szCs w:val="24"/>
          <w:rtl w:val="0"/>
        </w:rPr>
        <w:t xml:space="preserve">📊 Tier [X] Attained: Level of strategic alignment reached on The Bradbury Group's L&amp;D scale. [</w:t>
      </w:r>
      <w:hyperlink r:id="rId34">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Fonts w:ascii="Google Sans" w:cs="Google Sans" w:eastAsia="Google Sans" w:hAnsi="Google Sans"/>
          <w:sz w:val="24"/>
          <w:szCs w:val="24"/>
          <w:rtl w:val="0"/>
        </w:rPr>
        <w:t xml:space="preserve">]</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spacing w:after="180" w:before="360" w:lineRule="auto"/>
        <w:rPr>
          <w:rFonts w:ascii="Google Sans" w:cs="Google Sans" w:eastAsia="Google Sans" w:hAnsi="Google Sans"/>
          <w:sz w:val="30"/>
          <w:szCs w:val="30"/>
        </w:rPr>
      </w:pPr>
      <w:r w:rsidDel="00000000" w:rsidR="00000000" w:rsidRPr="00000000">
        <w:rPr>
          <w:rFonts w:ascii="Google Sans" w:cs="Google Sans" w:eastAsia="Google Sans" w:hAnsi="Google Sans"/>
          <w:sz w:val="30"/>
          <w:szCs w:val="30"/>
          <w:rtl w:val="0"/>
        </w:rPr>
        <w:t xml:space="preserve">💬 Client Perspective</w:t>
      </w:r>
    </w:p>
    <w:p w:rsidR="00000000" w:rsidDel="00000000" w:rsidP="00000000" w:rsidRDefault="00000000" w:rsidRPr="00000000" w14:paraId="00000084">
      <w:pPr>
        <w:spacing w:before="60" w:lineRule="auto"/>
        <w:ind w:left="600" w:right="60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"[Insert a punchy, 1-2 sentence quote from the L&amp;D Director or HR VP emphasizing how the human-centered approach removed their fear of AI [.]"</w:t>
      </w:r>
    </w:p>
    <w:p w:rsidR="00000000" w:rsidDel="00000000" w:rsidP="00000000" w:rsidRDefault="00000000" w:rsidRPr="00000000" w14:paraId="00000085">
      <w:pPr>
        <w:spacing w:before="60" w:lineRule="auto"/>
        <w:ind w:left="600" w:right="600" w:firstLine="0"/>
        <w:rPr/>
      </w:pPr>
      <w:r w:rsidDel="00000000" w:rsidR="00000000" w:rsidRPr="00000000">
        <w:rPr>
          <w:rFonts w:ascii="Google Sans" w:cs="Google Sans" w:eastAsia="Google Sans" w:hAnsi="Google Sans"/>
          <w:sz w:val="24"/>
          <w:szCs w:val="24"/>
          <w:rtl w:val="0"/>
        </w:rPr>
        <w:t xml:space="preserve">— [Leader Name], [Title], [Company Name] [</w:t>
      </w:r>
      <w:hyperlink r:id="rId35">
        <w:r w:rsidDel="00000000" w:rsidR="00000000" w:rsidRPr="00000000">
          <w:rPr>
            <w:rFonts w:ascii="Google Sans" w:cs="Google Sans" w:eastAsia="Google Sans" w:hAnsi="Google Sans"/>
            <w:color w:val="1155cc"/>
            <w:sz w:val="24"/>
            <w:szCs w:val="24"/>
            <w:u w:val="single"/>
            <w:rtl w:val="0"/>
          </w:rPr>
          <w:t xml:space="preserve">1</w:t>
        </w:r>
      </w:hyperlink>
      <w:r w:rsidDel="00000000" w:rsidR="00000000" w:rsidRPr="00000000">
        <w:rPr>
          <w:rFonts w:ascii="Google Sans" w:cs="Google Sans" w:eastAsia="Google Sans" w:hAnsi="Google Sans"/>
          <w:sz w:val="24"/>
          <w:szCs w:val="24"/>
          <w:rtl w:val="0"/>
        </w:rPr>
        <w:t xml:space="preserve">]</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Paige Bradbury" w:id="22" w:date="2026-05-18T18:19:07Z">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 calm cognitive impact, psychological safety</w:t>
      </w:r>
    </w:p>
  </w:comment>
  <w:comment w:author="Niharika Sarkar" w:id="0" w:date="2026-05-18T02:29:36Z">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@pbradbury@thebradburygroup.net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Kindly check the document. Kept this on Saturday. This needs input.</w:t>
      </w:r>
    </w:p>
  </w:comment>
  <w:comment w:author="Sai Aparna Mopuru" w:id="1" w:date="2026-05-18T17:25:58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This document calls out the visual strategy and layout. Pls go through and guide @nsakar@thebradburygroup.net if that theme works for us. Also, should we use the old website document to project and share for any content changes.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 Bradbury reacted with 👍🏼 at 2026-05-18 17:36 PM</w:t>
      </w:r>
    </w:p>
  </w:comment>
  <w:comment w:author="Paige Bradbury" w:id="2" w:date="2026-05-18T17:38:27Z">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This needs a lot of new content. If we work off of the old, it could get confusing. @nsakar@thebradburygroup.net do you have any suggestions for the best way to do a website revamp? For introducing new content in a way that will work best for you?</w:t>
      </w:r>
    </w:p>
  </w:comment>
  <w:comment w:author="Niharika Sarkar" w:id="3" w:date="2026-05-18T17:59:26Z">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@pbradbury@thebradburygroup.net - I can't say much on Content in specific, but if accordingly content is provided I can certainly build a website which stands out the best way possible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 Bradbury reacted with 🥳 at 2026-05-18 20:01 PM</w:t>
      </w:r>
    </w:p>
  </w:comment>
  <w:comment w:author="Paige Bradbury" w:id="4" w:date="2026-05-18T20:02:41Z">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would you like me to join the huddle tonight so I can hear what y'all are saying about the website build?</w:t>
      </w:r>
    </w:p>
  </w:comment>
  <w:comment w:author="Sai Aparna Mopuru" w:id="5" w:date="2026-05-18T22:20:09Z">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Let me evaluate things from all fronts to make this easy to operate. To save your time, it is better you join tomorrow to align on the approach that we come up.  Today i will take it up with Menchie and Niharika.</w:t>
      </w:r>
    </w:p>
  </w:comment>
  <w:comment w:author="Paige Bradbury" w:id="6" w:date="2026-05-19T00:19:51Z">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sounds good.</w:t>
      </w:r>
    </w:p>
  </w:comment>
  <w:comment w:author="Paige Bradbury" w:id="21" w:date="2026-05-18T18:18:29Z">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Let's lean into  the “human side of AI adoption” angle because it differentiates TBG  from most AI consultants immediately.</w:t>
      </w:r>
    </w:p>
  </w:comment>
  <w:comment w:author="Paige Bradbury" w:id="12" w:date="2026-05-18T17:31:36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Jotform also has a scheduling tool. Shall we have Menchie look into this @smopuru@thebradburygroup.net?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jotform.com/products/appointments/use-cases/automate-appointments/?acc=main&amp;adgroup=188957653674&amp;matchtype=p&amp;network=g&amp;device=c&amp;devicemodel=&amp;extension_id=&amp;feeditemid=&amp;target_id=kwd-1385655402&amp;target=&amp;loc_interest=&amp;loc_physical=9010783&amp;placement=&amp;utm_source=adwords&amp;utm_campaign=23045303979&amp;utm_medium=cpc&amp;utm_term=online%20appointment%20booking&amp;utm_content=775562367726&amp;utm_scp=&amp;utm_cgroup=&amp;gad_source=1&amp;gad_campaignid=23045303979&amp;gbraid=0AAAAAC-d9amYAmVQNDmiK135_MhLp4U4u&amp;gclid=CjwKCAjw8arQBhB9EiwAfIKdQnNHpqBtYkORVT0v6LwF5J6mITzJy1_r5p9pIAxVR2XWbfXrES2xwxoCEH4QAvD_Bw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Sai Aparna Mopuru" w:id="13" w:date="2026-05-18T22:22:42Z">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@mlobo@thebradburygroup.net Pls take a l</w:t>
      </w:r>
    </w:p>
  </w:comment>
  <w:comment w:author="Paige Bradbury" w:id="11" w:date="2026-05-18T17:27:49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we can pull quotes from Cohort 1 from Braeden's social media file for additional testimonials.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Aparna Mopuru reacted with 👍 at 2026-05-18 22:22 PM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Paige Bradbury" w:id="29" w:date="2026-05-18T18:21:47Z">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will place an explainer video in our ClickUp task for this here shortly.</w:t>
      </w:r>
    </w:p>
  </w:comment>
  <w:comment w:author="Niharika Sarkar" w:id="30" w:date="2026-05-18T18:24:07Z">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Sure. Thankyou</w:t>
      </w:r>
    </w:p>
  </w:comment>
  <w:comment w:author="Paige Bradbury" w:id="20" w:date="2026-05-18T17:48:15Z">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@nsakar@thebradburygroup.net is the idea for the website to resemble something like this?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https://thebradburygroup.com/24166-2/#</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nsakar@thebradburygroup.net_</w:t>
      </w:r>
    </w:p>
  </w:comment>
  <w:comment w:author="Paige Bradbury" w:id="19" w:date="2026-05-18T17:35:39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going to need to be reviewed again to ensure it's up to date.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Aparna Mopuru reacted with 👍 at 2026-05-18 22:25 PM</w:t>
      </w:r>
    </w:p>
  </w:comment>
  <w:comment w:author="Sai Aparna Mopuru" w:id="32" w:date="2026-05-18T17:20:10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@pbradbury@thebradburygroup.net Do we have a folder where case studies content is placed? @nsakar@thebradburygroup.net That gives @nsarkar@thebradburygroup.net a fair idea  to suggest and design on 2-3 templates that works best for the content.</w:t>
      </w:r>
    </w:p>
  </w:comment>
  <w:comment w:author="Paige Bradbury" w:id="33" w:date="2026-05-18T18:12:17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I have not started that. Feel free to ask Menchie how she wants that structured in Drive.</w:t>
      </w:r>
    </w:p>
  </w:comment>
  <w:comment w:author="Paige Bradbury" w:id="34" w:date="2026-05-18T18:12:37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working on use case template ideas in Tab 2.</w:t>
      </w:r>
    </w:p>
  </w:comment>
  <w:comment w:author="Niharika Sarkar" w:id="25" w:date="2026-05-18T18:23:28Z">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check this layout. Pictures and layovers shall be added later</w:t>
      </w:r>
    </w:p>
  </w:comment>
  <w:comment w:author="Paige Bradbury" w:id="26" w:date="2026-05-18T19:04:20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thank you.</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I do wonder if we need to lose the partners in the past since that was all of my former work as an ID. We can discuss Friday.</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Sai Aparna Mopuru reacted with 👍 at 2026-05-18 22:27 PM</w:t>
      </w:r>
    </w:p>
  </w:comment>
  <w:comment w:author="Paige Bradbury" w:id="8" w:date="2026-05-18T17:26:46Z">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we have more data now that we can pull based on cohorts and PoC. Items from Andy that we will discuss on the live event and the data points on the Cohort page from Teresa, Leah, and Aurilis.</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have any operational data from you, Menchie, or even me on strategy, we could use that as well. Would just need to figure out what's needed and measure.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Sai Aparna Mopuru" w:id="9" w:date="2026-05-18T22:21:14Z">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QBR will certainly give some data. Metrics we could achieve by AI enablement.</w:t>
      </w:r>
    </w:p>
  </w:comment>
  <w:comment w:author="Paige Bradbury" w:id="10" w:date="2026-05-19T00:19:09Z">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idea!</w:t>
      </w:r>
    </w:p>
  </w:comment>
  <w:comment w:author="Paige Bradbury" w:id="31" w:date="2026-05-18T18:23:28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lean heavily into the Knowledge Graph v2.1 for this. @smopuru@thebradburygroup.net @nsakar@thebradburygroup.net how do you recommend we go about creating the new content so the turnaround cycle doesn't undo us all?</w:t>
      </w:r>
    </w:p>
  </w:comment>
  <w:comment w:author="Sai Aparna Mopuru" w:id="27" w:date="2026-05-18T17:17:59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@nsarkar@thebradburygroup.net I had placed all the suggestions/expectations here from the recent call where @paige@thebradburygroup.com has shared few expectations. Pls take a note of them.</w:t>
      </w:r>
    </w:p>
  </w:comment>
  <w:comment w:author="Paige Bradbury" w:id="16" w:date="2026-05-18T17:35:12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what if we go with Upskilling. I am getting a lot of pushback right now that this word sounds too much like engineering and IT "architecture."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Upskill flows more with the DOL AI Framework. And if folks are searching for upskilling in AI, it might pull better than architecting.</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Sai Aparna Mopuru" w:id="17" w:date="2026-05-18T22:25:15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Got you. You mean like workforce upskilling/ AI adoption etc.</w:t>
      </w:r>
    </w:p>
  </w:comment>
  <w:comment w:author="Paige Bradbury" w:id="18" w:date="2026-05-19T00:19:30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exactly.</w:t>
      </w:r>
    </w:p>
  </w:comment>
  <w:comment w:author="Paige Bradbury" w:id="7" w:date="2026-05-18T17:25:42Z">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@paige@thebradburygroup.com review AI Notetaker feedback from Ann on website - May 13 meeting.</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paige@thebradburygroup.com_</w:t>
      </w:r>
    </w:p>
  </w:comment>
  <w:comment w:author="Paige Bradbury" w:id="23" w:date="2026-05-18T18:19:36Z">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Love this too!</w:t>
      </w:r>
    </w:p>
  </w:comment>
  <w:comment w:author="Sai Aparna Mopuru" w:id="24" w:date="2026-05-18T22:26:59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Yay</w:t>
      </w:r>
    </w:p>
  </w:comment>
  <w:comment w:author="Paige Bradbury" w:id="28" w:date="2026-05-18T18:21:06Z">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file:///C:/Users/Paige/Downloads/landing-page-mockup%20(1).html</w:t>
      </w:r>
    </w:p>
  </w:comment>
  <w:comment w:author="Paige Bradbury" w:id="35" w:date="2026-05-18T18:06:53Z">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@smopuru@thebradburygroup.net can you take a look at this and see if it's close to what we need?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smopuru@thebradburygroup.net_</w:t>
      </w:r>
    </w:p>
  </w:comment>
  <w:comment w:author="Paige Bradbury" w:id="14" w:date="2026-05-18T17:33:03Z">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dropping the L&amp;D Teams part. We need to ensure the content closely aligns with our new Knowledge Graph v2.1 that we're running off of right now.</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https://drive.google.com/file/d/1MsDCAEefubm1fO4UXSlIkRHtjWQqUHTL/view?usp=sharing</w:t>
      </w:r>
    </w:p>
  </w:comment>
  <w:comment w:author="Sai Aparna Mopuru" w:id="15" w:date="2026-05-18T22:23:55Z">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Google Sans" w:cs="Google Sans" w:eastAsia="Google Sans" w:hAnsi="Google Sans"/>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oogle Sans" w:cs="Google Sans" w:eastAsia="Google Sans" w:hAnsi="Google Sans"/>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Google Sans" w:cs="Google Sans" w:eastAsia="Google Sans" w:hAnsi="Google Sans"/>
        <w:b w:val="0"/>
        <w:bCs w:val="0"/>
        <w:strike w:val="0"/>
        <w:sz w:val="24"/>
        <w:szCs w:val="24"/>
        <w:u w:val="none"/>
      </w:rPr>
    </w:lvl>
    <w:lvl w:ilvl="1">
      <w:start w:val="1"/>
      <w:numFmt w:val="bullet"/>
      <w:lvlText w:val="○"/>
      <w:lvlJc w:val="left"/>
      <w:pPr>
        <w:ind w:left="1440" w:hanging="360"/>
      </w:pPr>
      <w:rPr>
        <w:rFonts w:ascii="Google Sans" w:cs="Google Sans" w:eastAsia="Google Sans" w:hAnsi="Google Sans"/>
        <w:b w:val="0"/>
        <w:bCs w:val="0"/>
        <w:strike w:val="0"/>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b w:val="0"/>
        <w:bCs w:val="0"/>
        <w:i w:val="0"/>
        <w:iCs w:val="0"/>
        <w:smallCaps w:val="0"/>
        <w:color w:val="1f1f1f"/>
        <w:sz w:val="24"/>
        <w:szCs w:val="24"/>
        <w:u w:val="none"/>
      </w:rPr>
    </w:lvl>
    <w:lvl w:ilvl="1">
      <w:start w:val="1"/>
      <w:numFmt w:val="bullet"/>
      <w:lvlText w:val="●"/>
      <w:lvlJc w:val="left"/>
      <w:pPr>
        <w:ind w:left="1440" w:hanging="360"/>
      </w:pPr>
      <w:rPr>
        <w:rFonts w:ascii="Roboto" w:cs="Roboto" w:eastAsia="Roboto" w:hAnsi="Roboto"/>
        <w:b w:val="0"/>
        <w:bCs w:val="0"/>
        <w:i w:val="0"/>
        <w:iCs w:val="0"/>
        <w:smallCaps w:val="0"/>
        <w:color w:val="1f1f1f"/>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ebradburygroup.com/tbgexecutiveaifluencytraining/" TargetMode="External"/><Relationship Id="rId22" Type="http://schemas.openxmlformats.org/officeDocument/2006/relationships/hyperlink" Target="https://www.linkedin.com/company/paigebradbury" TargetMode="External"/><Relationship Id="rId21" Type="http://schemas.openxmlformats.org/officeDocument/2006/relationships/hyperlink" Target="https://www.linkedin.com/company/paigebradbury" TargetMode="External"/><Relationship Id="rId24" Type="http://schemas.openxmlformats.org/officeDocument/2006/relationships/hyperlink" Target="https://thebradburygroup.com/wp-content/uploads/2025/04/Paige-Bradbury-Speaker-Packet.pdf" TargetMode="External"/><Relationship Id="rId23" Type="http://schemas.openxmlformats.org/officeDocument/2006/relationships/hyperlink" Target="https://www.linkedin.com/company/paigebradbury"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cfMRsU9NoBjzMSKE1ik97yT8SPl_peENZ_JGhPCQkj8/edit" TargetMode="External"/><Relationship Id="rId26" Type="http://schemas.openxmlformats.org/officeDocument/2006/relationships/hyperlink" Target="https://www.linkedin.com/company/paigebradbury" TargetMode="External"/><Relationship Id="rId25" Type="http://schemas.openxmlformats.org/officeDocument/2006/relationships/hyperlink" Target="https://thebradburygroup.com/" TargetMode="External"/><Relationship Id="rId28" Type="http://schemas.openxmlformats.org/officeDocument/2006/relationships/hyperlink" Target="https://thebradburygroup.com/seeing-over-the-hill-why-just-learn-ai-doesnt-work-for-organizational-ai-adoption/" TargetMode="External"/><Relationship Id="rId27" Type="http://schemas.openxmlformats.org/officeDocument/2006/relationships/hyperlink" Target="https://www.linkedin.com/company/paigebradbury"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thebradburygroup.com/seeing-over-the-hill-why-just-learn-ai-doesnt-work-for-organizational-ai-adoption/" TargetMode="External"/><Relationship Id="rId7" Type="http://schemas.openxmlformats.org/officeDocument/2006/relationships/hyperlink" Target="https://drive.google.com/drive/folders/12czhcwMdVL2J-KfcJEJdczoA7YWOtqol?usp=drive_link" TargetMode="External"/><Relationship Id="rId8" Type="http://schemas.openxmlformats.org/officeDocument/2006/relationships/hyperlink" Target="https://docs.google.com/document/d/1cfMRsU9NoBjzMSKE1ik97yT8SPl_peENZ_JGhPCQkj8/edit" TargetMode="External"/><Relationship Id="rId31" Type="http://schemas.openxmlformats.org/officeDocument/2006/relationships/hyperlink" Target="https://thebradburygroup.com/wp-content/uploads/2025/04/Paige-Bradbury-Speaker-Packet.pdf" TargetMode="External"/><Relationship Id="rId30" Type="http://schemas.openxmlformats.org/officeDocument/2006/relationships/hyperlink" Target="https://thebradburygroup.com/wp-content/uploads/2025/04/Paige-Bradbury-Speaker-Packet.pdf" TargetMode="External"/><Relationship Id="rId11" Type="http://schemas.openxmlformats.org/officeDocument/2006/relationships/hyperlink" Target="https://docs.google.com/document/d/1cfMRsU9NoBjzMSKE1ik97yT8SPl_peENZ_JGhPCQkj8/edit" TargetMode="External"/><Relationship Id="rId33" Type="http://schemas.openxmlformats.org/officeDocument/2006/relationships/hyperlink" Target="https://www.linkedin.com/company/paigebradbury" TargetMode="External"/><Relationship Id="rId10" Type="http://schemas.openxmlformats.org/officeDocument/2006/relationships/hyperlink" Target="https://drive.google.com/open?id=1xKBTqjzxkHq3mMgdnDeLoDewGGb9Ijye" TargetMode="External"/><Relationship Id="rId32" Type="http://schemas.openxmlformats.org/officeDocument/2006/relationships/hyperlink" Target="https://www.linkedin.com/company/paigebradbury" TargetMode="External"/><Relationship Id="rId13" Type="http://schemas.openxmlformats.org/officeDocument/2006/relationships/hyperlink" Target="https://drive.google.com/open?id=1xKBTqjzxkHq3mMgdnDeLoDewGGb9Ijye" TargetMode="External"/><Relationship Id="rId35" Type="http://schemas.openxmlformats.org/officeDocument/2006/relationships/hyperlink" Target="https://www.linkedin.com/company/paigebradbury" TargetMode="External"/><Relationship Id="rId12" Type="http://schemas.openxmlformats.org/officeDocument/2006/relationships/hyperlink" Target="https://drive.google.com/open?id=1xKBTqjzxkHq3mMgdnDeLoDewGGb9Ijye" TargetMode="External"/><Relationship Id="rId34" Type="http://schemas.openxmlformats.org/officeDocument/2006/relationships/hyperlink" Target="https://thebradburygroup.com/wp-content/uploads/2025/04/Paige-Bradbury-Speaker-Packet.pdf" TargetMode="External"/><Relationship Id="rId15" Type="http://schemas.openxmlformats.org/officeDocument/2006/relationships/hyperlink" Target="https://docs.google.com/document/d/1cfMRsU9NoBjzMSKE1ik97yT8SPl_peENZ_JGhPCQkj8/edit" TargetMode="External"/><Relationship Id="rId14" Type="http://schemas.openxmlformats.org/officeDocument/2006/relationships/hyperlink" Target="https://drive.google.com/open?id=1xKBTqjzxkHq3mMgdnDeLoDewGGb9Ijye" TargetMode="External"/><Relationship Id="rId17" Type="http://schemas.openxmlformats.org/officeDocument/2006/relationships/hyperlink" Target="https://docs.google.com/document/d/1cfMRsU9NoBjzMSKE1ik97yT8SPl_peENZ_JGhPCQkj8/edit" TargetMode="External"/><Relationship Id="rId16" Type="http://schemas.openxmlformats.org/officeDocument/2006/relationships/hyperlink" Target="https://drive.google.com/open?id=10EHsVZbgDYcEv15G7N8ee5nF8H8ozMlyppRymCej0TY" TargetMode="External"/><Relationship Id="rId19" Type="http://schemas.openxmlformats.org/officeDocument/2006/relationships/hyperlink" Target="https://thebradburygroup.com/tbgexecutiveaifluencytraining/" TargetMode="External"/><Relationship Id="rId18" Type="http://schemas.openxmlformats.org/officeDocument/2006/relationships/hyperlink" Target="https://thebradburygroup.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