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Exporting PDHC data to a general openEHR CDR</w:t>
      </w:r>
    </w:p>
    <w:p>
      <w:pPr>
        <w:pStyle w:val="Subtitle"/>
      </w:pPr>
      <w:r>
        <w:t xml:space="preserve">Assessment, strategy, and execution guide</w:t>
      </w:r>
    </w:p>
    <w:p>
      <w:pPr>
        <w:pStyle w:val="Author"/>
      </w:pPr>
      <w:r>
        <w:t xml:space="preserve">PDHC platform — cdr.pdhc</w:t>
      </w:r>
    </w:p>
    <w:p>
      <w:pPr>
        <w:pStyle w:val="Date"/>
      </w:pPr>
      <w:r>
        <w:t xml:space="preserve">2026-07-21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how-to-use-this-document"/>
    <w:p>
      <w:pPr>
        <w:pStyle w:val="Heading1"/>
      </w:pPr>
      <w:r>
        <w:t xml:space="preserve">How to use this document</w:t>
      </w:r>
    </w:p>
    <w:p>
      <w:pPr>
        <w:pStyle w:val="FirstParagraph"/>
      </w:pPr>
      <w:r>
        <w:t xml:space="preserve">This is both a</w:t>
      </w:r>
      <w:r>
        <w:t xml:space="preserve"> </w:t>
      </w:r>
      <w:r>
        <w:rPr>
          <w:b/>
          <w:bCs/>
        </w:rPr>
        <w:t xml:space="preserve">findings report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learning guide</w:t>
      </w:r>
      <w:r>
        <w:t xml:space="preserve">. It is written for</w:t>
      </w:r>
      <w:r>
        <w:t xml:space="preserve"> </w:t>
      </w:r>
      <w:r>
        <w:t xml:space="preserve">someone who knows PDHC well but is new to openEHR interoperability, and who has</w:t>
      </w:r>
      <w:r>
        <w:t xml:space="preserve"> </w:t>
      </w:r>
      <w:r>
        <w:t xml:space="preserve">to actually execute the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1</w:t>
      </w:r>
      <w:r>
        <w:t xml:space="preserve"> </w:t>
      </w:r>
      <w:r>
        <w:t xml:space="preserve">teaches the openEHR concepts you need. Read this first; the rest</w:t>
      </w:r>
      <w:r>
        <w:t xml:space="preserve"> </w:t>
      </w:r>
      <w:r>
        <w:t xml:space="preserve">will not make sense without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2</w:t>
      </w:r>
      <w:r>
        <w:t xml:space="preserve"> </w:t>
      </w:r>
      <w:r>
        <w:t xml:space="preserve">states what PDHC has today, with evidence from the running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3</w:t>
      </w:r>
      <w:r>
        <w:t xml:space="preserve"> </w:t>
      </w:r>
      <w:r>
        <w:t xml:space="preserve">explains precisely why today’s output cannot be sent to a general</w:t>
      </w:r>
      <w:r>
        <w:t xml:space="preserve"> </w:t>
      </w:r>
      <w:r>
        <w:t xml:space="preserve">openEHR CDR.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4</w:t>
      </w:r>
      <w:r>
        <w:t xml:space="preserve"> </w:t>
      </w:r>
      <w:r>
        <w:t xml:space="preserve">is the recommended strategy.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5</w:t>
      </w:r>
      <w:r>
        <w:t xml:space="preserve"> </w:t>
      </w:r>
      <w:r>
        <w:t xml:space="preserve">is how to prove a target server can accept your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6</w:t>
      </w:r>
      <w:r>
        <w:t xml:space="preserve"> </w:t>
      </w:r>
      <w:r>
        <w:t xml:space="preserve">is the execution plan and the tickets that track it.</w:t>
      </w:r>
    </w:p>
    <w:p>
      <w:pPr>
        <w:pStyle w:val="FirstParagraph"/>
      </w:pPr>
      <w:r>
        <w:t xml:space="preserve">A one-line summary, if you read nothing else:</w:t>
      </w:r>
    </w:p>
    <w:p>
      <w:pPr>
        <w:pStyle w:val="BlockText"/>
      </w:pPr>
      <w:r>
        <w:t xml:space="preserve">PDHC does not currently produce interoperable openEHR. The stored</w:t>
      </w:r>
      <w:r>
        <w:t xml:space="preserve"> </w:t>
      </w:r>
      <w:r>
        <w:t xml:space="preserve">compositions are an openEHR-</w:t>
      </w:r>
      <w:r>
        <w:rPr>
          <w:i/>
          <w:iCs/>
        </w:rPr>
        <w:t xml:space="preserve">shaped</w:t>
      </w:r>
      <w:r>
        <w:t xml:space="preserve"> </w:t>
      </w:r>
      <w:r>
        <w:t xml:space="preserve">internal artifact that a conformant</w:t>
      </w:r>
      <w:r>
        <w:t xml:space="preserve"> </w:t>
      </w:r>
      <w:r>
        <w:t xml:space="preserve">server would reject. The correct move is to</w:t>
      </w:r>
      <w:r>
        <w:t xml:space="preserve"> </w:t>
      </w:r>
      <w:r>
        <w:rPr>
          <w:b/>
          <w:bCs/>
        </w:rPr>
        <w:t xml:space="preserve">regenerate</w:t>
      </w:r>
      <w:r>
        <w:t xml:space="preserve"> </w:t>
      </w:r>
      <w:r>
        <w:t xml:space="preserve">compositions from</w:t>
      </w:r>
      <w:r>
        <w:t xml:space="preserve"> </w:t>
      </w:r>
      <w:r>
        <w:t xml:space="preserve">the canonical observation data against a real operational template — not to</w:t>
      </w:r>
      <w:r>
        <w:t xml:space="preserve"> </w:t>
      </w:r>
      <w:r>
        <w:t xml:space="preserve">migrate the ones we have.</w:t>
      </w:r>
    </w:p>
    <w:p>
      <w:pPr>
        <w:pStyle w:val="BlockText"/>
      </w:pPr>
      <w:r>
        <w:rPr>
          <w:b/>
          <w:bCs/>
        </w:rPr>
        <w:t xml:space="preserve">Update (2026-07-22) — consolidation decision.</w:t>
      </w:r>
      <w:r>
        <w:t xml:space="preserve"> </w:t>
      </w:r>
      <w:r>
        <w:t xml:space="preserve">All openEHR production is</w:t>
      </w:r>
      <w:r>
        <w:t xml:space="preserve"> </w:t>
      </w:r>
      <w:r>
        <w:t xml:space="preserve">being consolidated onto</w:t>
      </w:r>
      <w:r>
        <w:t xml:space="preserve"> </w:t>
      </w:r>
      <w:r>
        <w:rPr>
          <w:rStyle w:val="VerbatimChar"/>
          <w:b/>
          <w:bCs/>
        </w:rPr>
        <w:t xml:space="preserve">rosetta.pdhc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cdr.pdhc</w:t>
      </w:r>
      <w:r>
        <w:t xml:space="preserve">’s parallel</w:t>
      </w:r>
      <w:r>
        <w:t xml:space="preserve"> </w:t>
      </w:r>
      <w:r>
        <w:t xml:space="preserve">implementation retired. Two independent openEHR emitters existed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cdr/transformer.py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rosetta/openehr_converter.py</w:t>
      </w:r>
      <w:r>
        <w:t xml:space="preserve">) and made the same</w:t>
      </w:r>
      <w:r>
        <w:t xml:space="preserve"> </w:t>
      </w:r>
      <w:r>
        <w:t xml:space="preserve">mistakes; the concern was homeless. Rosetta is the right home — its schema is</w:t>
      </w:r>
      <w:r>
        <w:t xml:space="preserve"> </w:t>
      </w:r>
      <w:r>
        <w:t xml:space="preserve">already the canonical-core-plus-projections shape, it is closer to</w:t>
      </w:r>
      <w:r>
        <w:t xml:space="preserve"> </w:t>
      </w:r>
      <w:r>
        <w:t xml:space="preserve">conformant, it carries the right security posture, and it is empty (nothing to</w:t>
      </w:r>
      <w:r>
        <w:t xml:space="preserve"> </w:t>
      </w:r>
      <w:r>
        <w:t xml:space="preserve">migrate). Rosetta</w:t>
      </w:r>
      <w:r>
        <w:t xml:space="preserve"> </w:t>
      </w:r>
      <w:r>
        <w:rPr>
          <w:b/>
          <w:bCs/>
        </w:rPr>
        <w:t xml:space="preserve">renders and delivers</w:t>
      </w:r>
      <w:r>
        <w:t xml:space="preserve"> </w:t>
      </w:r>
      <w:r>
        <w:t xml:space="preserve">openEHR;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keeps FHIR/raw and</w:t>
      </w:r>
      <w:r>
        <w:t xml:space="preserve"> </w:t>
      </w:r>
      <w:r>
        <w:t xml:space="preserve">the canonical store. The first live target is an</w:t>
      </w:r>
      <w:r>
        <w:t xml:space="preserve"> </w:t>
      </w:r>
      <w:r>
        <w:rPr>
          <w:b/>
          <w:bCs/>
        </w:rPr>
        <w:t xml:space="preserve">external sandbox openEHR</w:t>
      </w:r>
      <w:r>
        <w:rPr>
          <w:b/>
          <w:bCs/>
        </w:rPr>
        <w:t xml:space="preserve"> </w:t>
      </w:r>
      <w:r>
        <w:rPr>
          <w:b/>
          <w:bCs/>
        </w:rPr>
        <w:t xml:space="preserve">CDR</w:t>
      </w:r>
      <w:r>
        <w:t xml:space="preserve">, exercised from rosetta. Tracked by rollup</w:t>
      </w:r>
      <w:r>
        <w:t xml:space="preserve"> </w:t>
      </w:r>
      <w:r>
        <w:rPr>
          <w:b/>
          <w:bCs/>
        </w:rPr>
        <w:t xml:space="preserve">#511</w:t>
      </w:r>
      <w:r>
        <w:t xml:space="preserve"> </w:t>
      </w:r>
      <w:r>
        <w:t xml:space="preserve">(this supersedes the</w:t>
      </w:r>
      <w:r>
        <w:t xml:space="preserve"> </w:t>
      </w:r>
      <w:r>
        <w:t xml:space="preserve">earlier #487 plan). See Part 6 for the full ticket map.</w:t>
      </w:r>
    </w:p>
    <w:bookmarkEnd w:id="9"/>
    <w:bookmarkStart w:id="12" w:name="part-1-openehr-in-ten-minutes"/>
    <w:p>
      <w:pPr>
        <w:pStyle w:val="Heading1"/>
      </w:pPr>
      <w:r>
        <w:t xml:space="preserve">Part 1 — openEHR in ten minutes</w:t>
      </w:r>
    </w:p>
    <w:p>
      <w:pPr>
        <w:pStyle w:val="FirstParagraph"/>
      </w:pPr>
      <w:r>
        <w:t xml:space="preserve">openEHR and FHIR solve different problems, and the difference is the single</w:t>
      </w:r>
      <w:r>
        <w:t xml:space="preserve"> </w:t>
      </w:r>
      <w:r>
        <w:t xml:space="preserve">biggest source of confusion when moving between them.</w:t>
      </w:r>
    </w:p>
    <w:p>
      <w:pPr>
        <w:pStyle w:val="BodyText"/>
      </w:pPr>
      <w:r>
        <w:rPr>
          <w:b/>
          <w:bCs/>
        </w:rPr>
        <w:t xml:space="preserve">FHIR</w:t>
      </w:r>
      <w:r>
        <w:t xml:space="preserve"> </w:t>
      </w:r>
      <w:r>
        <w:t xml:space="preserve">is a wire format for exchange. A server publishes a</w:t>
      </w:r>
      <w:r>
        <w:t xml:space="preserve"> </w:t>
      </w:r>
      <w:r>
        <w:rPr>
          <w:rStyle w:val="VerbatimChar"/>
        </w:rPr>
        <w:t xml:space="preserve">CapabilityStatement</w:t>
      </w:r>
      <w:r>
        <w:t xml:space="preserve">, and if you send a structurally valid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, it</w:t>
      </w:r>
      <w:r>
        <w:t xml:space="preserve"> </w:t>
      </w:r>
      <w:r>
        <w:t xml:space="preserve">will generally accept it. Meaning is carried by terminology codes (LOINC,</w:t>
      </w:r>
      <w:r>
        <w:t xml:space="preserve"> </w:t>
      </w:r>
      <w:r>
        <w:t xml:space="preserve">SNOMED).</w:t>
      </w:r>
    </w:p>
    <w:p>
      <w:pPr>
        <w:pStyle w:val="BodyText"/>
      </w:pPr>
      <w:r>
        <w:rPr>
          <w:b/>
          <w:bCs/>
        </w:rPr>
        <w:t xml:space="preserve">openEHR</w:t>
      </w:r>
      <w:r>
        <w:t xml:space="preserve"> </w:t>
      </w:r>
      <w:r>
        <w:t xml:space="preserve">is a modelling architecture for the record itself. Meaning is</w:t>
      </w:r>
      <w:r>
        <w:t xml:space="preserve"> </w:t>
      </w:r>
      <w:r>
        <w:t xml:space="preserve">carried by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— where a value sits in a defined tree — rather than</w:t>
      </w:r>
      <w:r>
        <w:t xml:space="preserve"> </w:t>
      </w:r>
      <w:r>
        <w:t xml:space="preserve">primarily by codes. This has a direct consequence that catches everyone:</w:t>
      </w:r>
    </w:p>
    <w:p>
      <w:pPr>
        <w:pStyle w:val="BlockText"/>
      </w:pPr>
      <w:r>
        <w:t xml:space="preserve">An openEHR CDR will reject a composition whose</w:t>
      </w:r>
      <w:r>
        <w:t xml:space="preserve"> </w:t>
      </w:r>
      <w:r>
        <w:rPr>
          <w:b/>
          <w:bCs/>
        </w:rPr>
        <w:t xml:space="preserve">operational template</w:t>
      </w:r>
      <w:r>
        <w:t xml:space="preserve"> </w:t>
      </w:r>
      <w:r>
        <w:t xml:space="preserve">it</w:t>
      </w:r>
      <w:r>
        <w:t xml:space="preserve"> </w:t>
      </w:r>
      <w:r>
        <w:t xml:space="preserve">does not have. Capability is per-template, not per-server.</w:t>
      </w:r>
    </w:p>
    <w:bookmarkStart w:id="10" w:name="the-five-concepts"/>
    <w:p>
      <w:pPr>
        <w:pStyle w:val="Heading2"/>
      </w:pPr>
      <w:r>
        <w:t xml:space="preserve">The five concepts</w:t>
      </w:r>
    </w:p>
    <w:p>
      <w:pPr>
        <w:pStyle w:val="FirstParagraph"/>
      </w:pPr>
      <w:r>
        <w:rPr>
          <w:b/>
          <w:bCs/>
        </w:rPr>
        <w:t xml:space="preserve">Reference Model (RM).</w:t>
      </w:r>
      <w:r>
        <w:t xml:space="preserve"> </w:t>
      </w:r>
      <w:r>
        <w:t xml:space="preserve">The fixed set of building blocks:</w:t>
      </w:r>
      <w:r>
        <w:t xml:space="preserve"> </w:t>
      </w:r>
      <w:r>
        <w:rPr>
          <w:rStyle w:val="VerbatimChar"/>
        </w:rPr>
        <w:t xml:space="preserve">COMPOSITION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, and data types like</w:t>
      </w:r>
      <w:r>
        <w:t xml:space="preserve"> </w:t>
      </w:r>
      <w:r>
        <w:rPr>
          <w:rStyle w:val="VerbatimChar"/>
        </w:rPr>
        <w:t xml:space="preserve">DV_QUANTITY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DV_CODED_TEXT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DV_TEXT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DV_BOOLEAN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DV_DATE_TIME</w:t>
      </w:r>
      <w:r>
        <w:t xml:space="preserve">. The RM never changes</w:t>
      </w:r>
      <w:r>
        <w:t xml:space="preserve"> </w:t>
      </w:r>
      <w:r>
        <w:t xml:space="preserve">per project. Every node in a real composition carries</w:t>
      </w:r>
      <w:r>
        <w:t xml:space="preserve"> </w:t>
      </w:r>
      <w:r>
        <w:rPr>
          <w:rStyle w:val="VerbatimChar"/>
        </w:rPr>
        <w:t xml:space="preserve">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archetype_node_id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Archetype.</w:t>
      </w:r>
      <w:r>
        <w:t xml:space="preserve"> </w:t>
      </w:r>
      <w:r>
        <w:t xml:space="preserve">A maximal, reusable definition of one clinical concept — for</w:t>
      </w:r>
      <w:r>
        <w:t xml:space="preserve"> </w:t>
      </w:r>
      <w:r>
        <w:t xml:space="preserve">example</w:t>
      </w:r>
      <w:r>
        <w:t xml:space="preserve"> </w:t>
      </w:r>
      <w:r>
        <w:rPr>
          <w:rStyle w:val="VerbatimChar"/>
        </w:rPr>
        <w:t xml:space="preserve">openEHR-EHR-OBSERVATION.body_weight.v2</w:t>
      </w:r>
      <w:r>
        <w:t xml:space="preserve">. Written in ADL, published in</w:t>
      </w:r>
      <w:r>
        <w:t xml:space="preserve"> </w:t>
      </w:r>
      <w:r>
        <w:t xml:space="preserve">the international</w:t>
      </w:r>
      <w:r>
        <w:t xml:space="preserve"> </w:t>
      </w:r>
      <w:r>
        <w:rPr>
          <w:b/>
          <w:bCs/>
        </w:rPr>
        <w:t xml:space="preserve">CKM</w:t>
      </w:r>
      <w:r>
        <w:t xml:space="preserve"> </w:t>
      </w:r>
      <w:r>
        <w:t xml:space="preserve">(Clinical Knowledge Manager). You normally</w:t>
      </w:r>
      <w:r>
        <w:t xml:space="preserve"> </w:t>
      </w:r>
      <w:r>
        <w:rPr>
          <w:i/>
          <w:iCs/>
        </w:rPr>
        <w:t xml:space="preserve">reuse</w:t>
      </w:r>
      <w:r>
        <w:t xml:space="preserve"> </w:t>
      </w:r>
      <w:r>
        <w:t xml:space="preserve">these; authoring new ones is a governance exercise.</w:t>
      </w:r>
    </w:p>
    <w:p>
      <w:pPr>
        <w:pStyle w:val="BodyText"/>
      </w:pPr>
      <w:r>
        <w:rPr>
          <w:b/>
          <w:bCs/>
        </w:rPr>
        <w:t xml:space="preserve">Template / OPT.</w:t>
      </w:r>
      <w:r>
        <w:t xml:space="preserve"> </w:t>
      </w:r>
      <w:r>
        <w:t xml:space="preserve">A template selects and constrains archetypes for one</w:t>
      </w:r>
      <w:r>
        <w:t xml:space="preserve"> </w:t>
      </w:r>
      <w:r>
        <w:t xml:space="preserve">specific use case —</w:t>
      </w:r>
      <w:r>
        <w:t xml:space="preserve"> </w:t>
      </w:r>
      <w:r>
        <w:t xml:space="preserve">“the vitals form we actually use”</w:t>
      </w:r>
      <w:r>
        <w:t xml:space="preserve">. The</w:t>
      </w:r>
      <w:r>
        <w:t xml:space="preserve"> </w:t>
      </w:r>
      <w:r>
        <w:rPr>
          <w:b/>
          <w:bCs/>
        </w:rPr>
        <w:t xml:space="preserve">operational</w:t>
      </w:r>
      <w:r>
        <w:rPr>
          <w:b/>
          <w:bCs/>
        </w:rPr>
        <w:t xml:space="preserve"> </w:t>
      </w:r>
      <w:r>
        <w:rPr>
          <w:b/>
          <w:bCs/>
        </w:rPr>
        <w:t xml:space="preserve">template (</w:t>
      </w:r>
      <w:r>
        <w:rPr>
          <w:rStyle w:val="VerbatimChar"/>
          <w:b/>
          <w:bCs/>
        </w:rPr>
        <w:t xml:space="preserve">.opt</w:t>
      </w:r>
      <w:r>
        <w:rPr>
          <w:b/>
          <w:bCs/>
        </w:rPr>
        <w:t xml:space="preserve">)</w:t>
      </w:r>
      <w:r>
        <w:t xml:space="preserve"> </w:t>
      </w:r>
      <w:r>
        <w:t xml:space="preserve">is the flattened, fully-resolved form the server consumes.</w:t>
      </w:r>
      <w:r>
        <w:t xml:space="preserve"> </w:t>
      </w:r>
      <w:r>
        <w:rPr>
          <w:b/>
          <w:bCs/>
        </w:rPr>
        <w:t xml:space="preserve">This is the artifact that must exist on both sides.</w:t>
      </w:r>
      <w:r>
        <w:t xml:space="preserve"> </w:t>
      </w:r>
      <w:r>
        <w:t xml:space="preserve">PDHC currently has none.</w:t>
      </w:r>
    </w:p>
    <w:p>
      <w:pPr>
        <w:pStyle w:val="BodyText"/>
      </w:pPr>
      <w:r>
        <w:rPr>
          <w:b/>
          <w:bCs/>
        </w:rPr>
        <w:t xml:space="preserve">Composition.</w:t>
      </w:r>
      <w:r>
        <w:t xml:space="preserve"> </w:t>
      </w:r>
      <w:r>
        <w:t xml:space="preserve">The unit committed to an EHR — one clinical document. It has</w:t>
      </w:r>
      <w:r>
        <w:t xml:space="preserve"> </w:t>
      </w:r>
      <w:r>
        <w:t xml:space="preserve">mandatory attributes: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archetype_details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template_id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for event compositions.</w:t>
      </w:r>
    </w:p>
    <w:p>
      <w:pPr>
        <w:pStyle w:val="BodyText"/>
      </w:pPr>
      <w:r>
        <w:rPr>
          <w:b/>
          <w:bCs/>
        </w:rPr>
        <w:t xml:space="preserve">EHR and AQL.</w:t>
      </w:r>
      <w:r>
        <w:t xml:space="preserve"> </w:t>
      </w:r>
      <w:r>
        <w:t xml:space="preserve">Each patient has an</w:t>
      </w:r>
      <w:r>
        <w:t xml:space="preserve"> </w:t>
      </w:r>
      <w:r>
        <w:rPr>
          <w:b/>
          <w:bCs/>
        </w:rPr>
        <w:t xml:space="preserve">EHR</w:t>
      </w:r>
      <w:r>
        <w:t xml:space="preserve"> </w:t>
      </w:r>
      <w:r>
        <w:t xml:space="preserve">identified by a UUID, whose</w:t>
      </w:r>
      <w:r>
        <w:t xml:space="preserve"> </w:t>
      </w:r>
      <w:r>
        <w:rPr>
          <w:rStyle w:val="VerbatimChar"/>
        </w:rPr>
        <w:t xml:space="preserve">EHR_STATUS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subject.external_ref</w:t>
      </w:r>
      <w:r>
        <w:t xml:space="preserve"> </w:t>
      </w:r>
      <w:r>
        <w:t xml:space="preserve">— the namespace + id that lets you</w:t>
      </w:r>
      <w:r>
        <w:t xml:space="preserve"> </w:t>
      </w:r>
      <w:r>
        <w:t xml:space="preserve">find a patient by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identifier.</w:t>
      </w:r>
      <w:r>
        <w:t xml:space="preserve"> </w:t>
      </w:r>
      <w:r>
        <w:rPr>
          <w:b/>
          <w:bCs/>
        </w:rPr>
        <w:t xml:space="preserve">AQL</w:t>
      </w:r>
      <w:r>
        <w:t xml:space="preserve"> </w:t>
      </w:r>
      <w:r>
        <w:t xml:space="preserve">(Archetype Query Language) is how</w:t>
      </w:r>
      <w:r>
        <w:t xml:space="preserve"> </w:t>
      </w:r>
      <w:r>
        <w:t xml:space="preserve">you query across compositions; it is also the only honest way to prove data</w:t>
      </w:r>
      <w:r>
        <w:t xml:space="preserve"> </w:t>
      </w:r>
      <w:r>
        <w:t xml:space="preserve">landed correctly.</w:t>
      </w:r>
    </w:p>
    <w:bookmarkEnd w:id="10"/>
    <w:bookmarkStart w:id="11" w:name="composition-serialisation-formats"/>
    <w:p>
      <w:pPr>
        <w:pStyle w:val="Heading2"/>
      </w:pPr>
      <w:r>
        <w:t xml:space="preserve">Composition serialisation formats</w:t>
      </w:r>
    </w:p>
    <w:p>
      <w:pPr>
        <w:pStyle w:val="FirstParagraph"/>
      </w:pPr>
      <w:r>
        <w:t xml:space="preserve">This choice drives most of the implementation effort.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</w:t>
            </w:r>
            <w:r>
              <w:t xml:space="preserve"> </w:t>
            </w:r>
            <w:r>
              <w:t xml:space="preserve">JSON/XML</w:t>
            </w:r>
          </w:p>
        </w:tc>
        <w:tc>
          <w:tcPr/>
          <w:p>
            <w:pPr>
              <w:pStyle w:val="Compact"/>
            </w:pPr>
            <w:r>
              <w:t xml:space="preserve">The full RM tree, every</w:t>
            </w:r>
            <w:r>
              <w:t xml:space="preserve"> </w:t>
            </w:r>
            <w:r>
              <w:rPr>
                <w:rStyle w:val="VerbatimChar"/>
              </w:rPr>
              <w:t xml:space="preserve">_type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archetype_node_id</w:t>
            </w:r>
            <w:r>
              <w:t xml:space="preserve"> </w:t>
            </w: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Highest — you build the whole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 / simSDT</w:t>
            </w:r>
          </w:p>
        </w:tc>
        <w:tc>
          <w:tcPr/>
          <w:p>
            <w:pPr>
              <w:pStyle w:val="Compact"/>
            </w:pPr>
            <w:r>
              <w:t xml:space="preserve">Dot-separated paths against a web template,</w:t>
            </w:r>
            <w:r>
              <w:t xml:space="preserve"> </w:t>
            </w:r>
            <w:r>
              <w:rPr>
                <w:rStyle w:val="VerbatimChar"/>
              </w:rPr>
              <w:t xml:space="preserve">{"vitals/body_weight/.../weight\|magnitude": 72.5}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</w:t>
            </w:r>
            <w:r>
              <w:t xml:space="preserve"> </w:t>
            </w:r>
            <w:r>
              <w:t xml:space="preserve">— server expands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Nested JSON mirroring template structure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FLAT.</w:t>
      </w:r>
      <w:r>
        <w:t xml:space="preserve"> </w:t>
      </w:r>
      <w:r>
        <w:t xml:space="preserve">It removes most of the code that is currently wrong,</w:t>
      </w:r>
      <w:r>
        <w:t xml:space="preserve"> </w:t>
      </w:r>
      <w:r>
        <w:t xml:space="preserve">because the server does the RM scaffolding for you. Both EHRbase and Better</w:t>
      </w:r>
      <w:r>
        <w:t xml:space="preserve"> </w:t>
      </w:r>
      <w:r>
        <w:t xml:space="preserve">support it.</w:t>
      </w:r>
    </w:p>
    <w:bookmarkEnd w:id="11"/>
    <w:bookmarkEnd w:id="12"/>
    <w:bookmarkStart w:id="19" w:name="part-2-what-pdhc-has-today"/>
    <w:p>
      <w:pPr>
        <w:pStyle w:val="Heading1"/>
      </w:pPr>
      <w:r>
        <w:t xml:space="preserve">Part 2 — What PDHC has today</w:t>
      </w:r>
    </w:p>
    <w:p>
      <w:pPr>
        <w:pStyle w:val="FirstParagraph"/>
      </w:pPr>
      <w:r>
        <w:t xml:space="preserve">All statements below were verified against the code and the production</w:t>
      </w:r>
      <w:r>
        <w:t xml:space="preserve"> </w:t>
      </w:r>
      <w:r>
        <w:t xml:space="preserve">database on 2026-07-21.</w:t>
      </w:r>
    </w:p>
    <w:bookmarkStart w:id="13" w:name="the-pipeline-is-fhir-end-to-end"/>
    <w:p>
      <w:pPr>
        <w:pStyle w:val="Heading2"/>
      </w:pPr>
      <w:r>
        <w:t xml:space="preserve">The pipeline is FHIR end-to-end</w:t>
      </w:r>
    </w:p>
    <w:p>
      <w:pPr>
        <w:pStyle w:val="FirstParagraph"/>
      </w:pPr>
      <w:r>
        <w:rPr>
          <w:rStyle w:val="VerbatimChar"/>
        </w:rPr>
        <w:t xml:space="preserve">gateway.pdhc</w:t>
      </w:r>
      <w:r>
        <w:t xml:space="preserve"> </w:t>
      </w:r>
      <w:r>
        <w:t xml:space="preserve">builds FHIR R5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resources and forwards them to</w:t>
      </w:r>
      <w:r>
        <w:t xml:space="preserve"> </w:t>
      </w:r>
      <w:r>
        <w:t xml:space="preserve">CDR1.</w:t>
      </w:r>
      <w:r>
        <w:t xml:space="preserve"> </w:t>
      </w:r>
      <w:r>
        <w:rPr>
          <w:rStyle w:val="VerbatimChar"/>
        </w:rPr>
        <w:t xml:space="preserve">source_type: 'fhir'</w:t>
      </w:r>
      <w:r>
        <w:t xml:space="preserve"> </w:t>
      </w:r>
      <w:r>
        <w:t xml:space="preserve">is hardcoded and there is no openEHR branch in the</w:t>
      </w:r>
      <w:r>
        <w:t xml:space="preserve"> </w:t>
      </w:r>
      <w:r>
        <w:t xml:space="preserve">forwarder. CDR1 then</w:t>
      </w:r>
      <w:r>
        <w:t xml:space="preserve"> </w:t>
      </w:r>
      <w:r>
        <w:rPr>
          <w:i/>
          <w:iCs/>
        </w:rPr>
        <w:t xml:space="preserve">derives</w:t>
      </w:r>
      <w:r>
        <w:t xml:space="preserve"> </w:t>
      </w:r>
      <w:r>
        <w:t xml:space="preserve">an openEHR composition from that FHIR in</w:t>
      </w:r>
      <w:r>
        <w:t xml:space="preserve"> </w:t>
      </w:r>
      <w:r>
        <w:rPr>
          <w:rStyle w:val="VerbatimChar"/>
        </w:rPr>
        <w:t xml:space="preserve">cdr_app/app/services/transformer.py</w:t>
      </w:r>
      <w:r>
        <w:t xml:space="preserve"> </w:t>
      </w:r>
      <w:r>
        <w:t xml:space="preserve">— roughly 90 lines of hand-written</w:t>
      </w:r>
      <w:r>
        <w:t xml:space="preserve"> </w:t>
      </w:r>
      <w:r>
        <w:t xml:space="preserve">dictionary literals.</w:t>
      </w:r>
    </w:p>
    <w:bookmarkEnd w:id="13"/>
    <w:bookmarkStart w:id="14" w:name="X21c6b14c0490c8421f7805d418f9f9501082812"/>
    <w:p>
      <w:pPr>
        <w:pStyle w:val="Heading2"/>
      </w:pPr>
      <w:r>
        <w:t xml:space="preserve">Finding 1 — the composition is openEHR-flavoured, not RM-conformant</w:t>
      </w:r>
    </w:p>
    <w:p>
      <w:pPr>
        <w:pStyle w:val="FirstParagraph"/>
      </w:pPr>
      <w:r>
        <w:t xml:space="preserve">It borrows canonical key names (</w:t>
      </w:r>
      <w:r>
        <w:rPr>
          <w:rStyle w:val="VerbatimChar"/>
        </w:rPr>
        <w:t xml:space="preserve">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archetype_details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DV_QUANTITY</w:t>
      </w:r>
      <w:r>
        <w:t xml:space="preserve">)</w:t>
      </w:r>
      <w:r>
        <w:t xml:space="preserve"> </w:t>
      </w:r>
      <w:r>
        <w:t xml:space="preserve">but omits nearly everything the RM requires.</w:t>
      </w:r>
    </w:p>
    <w:p>
      <w:pPr>
        <w:pStyle w:val="BodyText"/>
      </w:pPr>
      <w:r>
        <w:t xml:space="preserve">Actual stored composition from production (values shortened):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"3b7f0013-c361-404d-8599-cdb43babcc86"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"smoke-408x2"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"archetype_details"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"archetype_id"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"openEHR-EHR-COMPOSITION.report-result.v1"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"2026-07-08T21:09:21.901459+00:00"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"setting"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 care"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"defining_code"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"code_string"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"238"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"archetype_details"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"archetype_id"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"openEHR-EHR-OBSERVATION.laboratory_test_result.v1"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"2026-07-08T21:09:21.901459+00:00"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"DV_QUANTITY"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"magnitude"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"mg/L"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Missing, each individually fatal to validation: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archetype_node_id</w:t>
      </w:r>
      <w:r>
        <w:rPr>
          <w:b/>
          <w:bCs/>
        </w:rPr>
        <w:t xml:space="preserve"> </w:t>
      </w:r>
      <w:r>
        <w:rPr>
          <w:b/>
          <w:bCs/>
        </w:rPr>
        <w:t xml:space="preserve">anywhere.</w:t>
      </w:r>
      <w:r>
        <w:t xml:space="preserve"> </w:t>
      </w:r>
      <w:r>
        <w:t xml:space="preserve">Every RM node requires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language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territory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category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composer</w:t>
      </w:r>
      <w:r>
        <w:t xml:space="preserve"> </w:t>
      </w:r>
      <w:r>
        <w:t xml:space="preserve">— all mandatory on</w:t>
      </w:r>
      <w:r>
        <w:t xml:space="preserve"> </w:t>
      </w:r>
      <w:r>
        <w:rPr>
          <w:rStyle w:val="VerbatimChar"/>
        </w:rPr>
        <w:t xml:space="preserve">COMPOSITION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ITEM_TREE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ELEMENT</w:t>
      </w:r>
      <w:r>
        <w:rPr>
          <w:b/>
          <w:bCs/>
        </w:rPr>
        <w:t xml:space="preserve"> </w:t>
      </w:r>
      <w:r>
        <w:rPr>
          <w:b/>
          <w:bCs/>
        </w:rPr>
        <w:t xml:space="preserve">layer.</w:t>
      </w:r>
      <w:r>
        <w:t xml:space="preserve"> </w:t>
      </w:r>
      <w:r>
        <w:rPr>
          <w:rStyle w:val="VerbatimChar"/>
        </w:rPr>
        <w:t xml:space="preserve">data.items[]</w:t>
      </w:r>
      <w:r>
        <w:t xml:space="preserve"> </w:t>
      </w:r>
      <w:r>
        <w:t xml:space="preserve">jumps straight to</w:t>
      </w:r>
      <w:r>
        <w:t xml:space="preserve"> </w:t>
      </w:r>
      <w:r>
        <w:rPr>
          <w:rStyle w:val="VerbatimChar"/>
        </w:rPr>
        <w:t xml:space="preserve">{"value": {...}}</w:t>
      </w:r>
      <w:r>
        <w:t xml:space="preserve">. The string</w:t>
      </w:r>
      <w:r>
        <w:t xml:space="preserve"> </w:t>
      </w:r>
      <w:r>
        <w:rPr>
          <w:rStyle w:val="VerbatimChar"/>
        </w:rPr>
        <w:t xml:space="preserve">_type: "ELEMENT"</w:t>
      </w:r>
      <w:r>
        <w:t xml:space="preserve"> </w:t>
      </w:r>
      <w:r>
        <w:t xml:space="preserve">does not exist anywhere in</w:t>
      </w:r>
      <w:r>
        <w:t xml:space="preserve"> </w:t>
      </w:r>
      <w:r>
        <w:t xml:space="preserve">the codebase.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rm_version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archetype_details</w:t>
      </w:r>
      <w:r>
        <w:t xml:space="preserve"> </w:t>
      </w:r>
      <w:r>
        <w:t xml:space="preserve">lacks</w:t>
      </w:r>
      <w:r>
        <w:t xml:space="preserve"> </w:t>
      </w:r>
      <w:r>
        <w:rPr>
          <w:rStyle w:val="VerbatimChar"/>
        </w:rPr>
        <w:t xml:space="preserve">_type: "ARCHETYPED"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is a bare</w:t>
      </w:r>
      <w:r>
        <w:t xml:space="preserve"> </w:t>
      </w:r>
      <w:r>
        <w:rPr>
          <w:rStyle w:val="VerbatimChar"/>
        </w:rPr>
        <w:t xml:space="preserve">{"value": ...}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_type: "DV_TEXT"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setting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defining_code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terminology_id</w:t>
      </w:r>
      <w:r>
        <w:t xml:space="preserve">, so it is not a</w:t>
      </w:r>
      <w:r>
        <w:t xml:space="preserve"> </w:t>
      </w:r>
      <w:r>
        <w:t xml:space="preserve">valid</w:t>
      </w:r>
      <w:r>
        <w:t xml:space="preserve"> </w:t>
      </w:r>
      <w:r>
        <w:rPr>
          <w:rStyle w:val="VerbatimChar"/>
        </w:rPr>
        <w:t xml:space="preserve">CODE_PHRASE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subject.</w:t>
      </w:r>
      <w:r>
        <w:t xml:space="preserve"> </w:t>
      </w:r>
      <w:r>
        <w:t xml:space="preserve">The composition carries no patient reference at all.</w:t>
      </w:r>
    </w:p>
    <w:bookmarkEnd w:id="14"/>
    <w:bookmarkStart w:id="15" w:name="X19e9054648fab2d0ec692f33801fc8aeadf5c79"/>
    <w:p>
      <w:pPr>
        <w:pStyle w:val="Heading2"/>
      </w:pPr>
      <w:r>
        <w:t xml:space="preserve">Finding 2 — all 7,065 compositions are semantically wrong</w:t>
      </w:r>
    </w:p>
    <w:p>
      <w:pPr>
        <w:pStyle w:val="FirstParagraph"/>
      </w:pPr>
      <w:r>
        <w:t xml:space="preserve">Production query result:</w:t>
      </w:r>
    </w:p>
    <w:p>
      <w:pPr>
        <w:pStyle w:val="SourceCode"/>
      </w:pPr>
      <w:r>
        <w:rPr>
          <w:rStyle w:val="VerbatimChar"/>
        </w:rPr>
        <w:t xml:space="preserve"> template_id | archetype_id                                       | count</w:t>
      </w:r>
      <w:r>
        <w:br/>
      </w:r>
      <w:r>
        <w:rPr>
          <w:rStyle w:val="VerbatimChar"/>
        </w:rPr>
        <w:t xml:space="preserve"> generic     | openEHR-EHR-OBSERVATION.laboratory_test_result.v1  |  7065</w:t>
      </w:r>
    </w:p>
    <w:p>
      <w:pPr>
        <w:pStyle w:val="FirstParagraph"/>
      </w:pPr>
      <w:r>
        <w:t xml:space="preserve">Every composition, without exception, is stored as a</w:t>
      </w:r>
      <w:r>
        <w:t xml:space="preserve"> </w:t>
      </w:r>
      <w:r>
        <w:rPr>
          <w:i/>
          <w:iCs/>
        </w:rPr>
        <w:t xml:space="preserve">laboratory test result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rPr>
          <w:rStyle w:val="VerbatimChar"/>
        </w:rPr>
        <w:t xml:space="preserve">transformer.py</w:t>
      </w:r>
      <w:r>
        <w:t xml:space="preserve"> </w:t>
      </w:r>
      <w:r>
        <w:t xml:space="preserve">chooses the archetype from a hardcoded</w:t>
      </w:r>
      <w:r>
        <w:t xml:space="preserve"> </w:t>
      </w:r>
      <w:r>
        <w:rPr>
          <w:b/>
          <w:bCs/>
        </w:rPr>
        <w:t xml:space="preserve">LOINC</w:t>
      </w:r>
      <w:r>
        <w:t xml:space="preserve"> </w:t>
      </w:r>
      <w:r>
        <w:t xml:space="preserve">lookup table. But gateway emits</w:t>
      </w:r>
      <w:r>
        <w:t xml:space="preserve"> </w:t>
      </w:r>
      <w:r>
        <w:rPr>
          <w:b/>
          <w:bCs/>
        </w:rPr>
        <w:t xml:space="preserve">PDHC concept GUIDs</w:t>
      </w:r>
      <w:r>
        <w:t xml:space="preserve"> </w:t>
      </w:r>
      <w:r>
        <w:t xml:space="preserve">(</w:t>
      </w:r>
      <w:r>
        <w:rPr>
          <w:rStyle w:val="VerbatimChar"/>
        </w:rPr>
        <w:t xml:space="preserve">urn:pdhc:concept</w:t>
      </w:r>
      <w:r>
        <w:t xml:space="preserve">) and never LOINC. The lookup therefore misses 100% of the</w:t>
      </w:r>
      <w:r>
        <w:t xml:space="preserve"> </w:t>
      </w:r>
      <w:r>
        <w:t xml:space="preserve">time and every observation falls through to the lab-result fallback. Body</w:t>
      </w:r>
      <w:r>
        <w:t xml:space="preserve"> </w:t>
      </w:r>
      <w:r>
        <w:t xml:space="preserve">weight, blood pressure, pulse — all labelled as lab results.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loinc_archetype_map</w:t>
      </w:r>
      <w:r>
        <w:t xml:space="preserve"> </w:t>
      </w:r>
      <w:r>
        <w:t xml:space="preserve">table that was designed to drive this is</w:t>
      </w:r>
      <w:r>
        <w:t xml:space="preserve"> </w:t>
      </w:r>
      <w:r>
        <w:rPr>
          <w:b/>
          <w:bCs/>
        </w:rPr>
        <w:t xml:space="preserve">dead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t xml:space="preserve">: the model is defined, but nothing queries it, inserts into it, or seeds</w:t>
      </w:r>
      <w:r>
        <w:t xml:space="preserve"> </w:t>
      </w:r>
      <w:r>
        <w:t xml:space="preserve">it. The transformer comment claims it is</w:t>
      </w:r>
      <w:r>
        <w:t xml:space="preserve"> </w:t>
      </w:r>
      <w:r>
        <w:t xml:space="preserve">“loaded from DB at init”</w:t>
      </w:r>
      <w:r>
        <w:t xml:space="preserve">; that load</w:t>
      </w:r>
      <w:r>
        <w:t xml:space="preserve"> </w:t>
      </w:r>
      <w:r>
        <w:t xml:space="preserve">does not exist.</w:t>
      </w:r>
    </w:p>
    <w:bookmarkEnd w:id="15"/>
    <w:bookmarkStart w:id="16" w:name="Xbc0acaf340963da6480277f0c63afba0f76f563"/>
    <w:p>
      <w:pPr>
        <w:pStyle w:val="Heading2"/>
      </w:pPr>
      <w:r>
        <w:t xml:space="preserve">Finding 3 — this has never been validated against a real openEHR server</w:t>
      </w:r>
    </w:p>
    <w:p>
      <w:pPr>
        <w:pStyle w:val="FirstParagraph"/>
      </w:pPr>
      <w:r>
        <w:rPr>
          <w:rStyle w:val="VerbatimChar"/>
        </w:rPr>
        <w:t xml:space="preserve">CAMBIO_DELIVERY_ENABLED=false</w:t>
      </w:r>
      <w:r>
        <w:t xml:space="preserve"> </w:t>
      </w:r>
      <w:r>
        <w:t xml:space="preserve">in production. The delivery log contains</w:t>
      </w:r>
      <w:r>
        <w:t xml:space="preserve"> </w:t>
      </w:r>
      <w:r>
        <w:t xml:space="preserve">exactly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openEHR rows, both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b/>
          <w:bCs/>
        </w:rPr>
        <w:t xml:space="preserve">zero delivered</w:t>
      </w:r>
      <w:r>
        <w:t xml:space="preserve">. So the belief</w:t>
      </w:r>
      <w:r>
        <w:t xml:space="preserve"> </w:t>
      </w:r>
      <w:r>
        <w:t xml:space="preserve">“we already produce openEHR”</w:t>
      </w:r>
      <w:r>
        <w:t xml:space="preserve"> </w:t>
      </w:r>
      <w:r>
        <w:t xml:space="preserve">has never been tested against anything that</w:t>
      </w:r>
      <w:r>
        <w:t xml:space="preserve"> </w:t>
      </w:r>
      <w:r>
        <w:t xml:space="preserve">validates.</w:t>
      </w:r>
    </w:p>
    <w:bookmarkEnd w:id="16"/>
    <w:bookmarkStart w:id="17" w:name="X5cccd633b444d29166b01afec83179cee0b5199"/>
    <w:p>
      <w:pPr>
        <w:pStyle w:val="Heading2"/>
      </w:pPr>
      <w:r>
        <w:t xml:space="preserve">Finding 4 — supporting infrastructure is absent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template artifacts.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.opt</w:t>
      </w:r>
      <w:r>
        <w:t xml:space="preserve">,</w:t>
      </w:r>
      <w:r>
        <w:t xml:space="preserve"> </w:t>
      </w:r>
      <w:r>
        <w:rPr>
          <w:rStyle w:val="VerbatimChar"/>
        </w:rPr>
        <w:t xml:space="preserve">.adl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.oet</w:t>
      </w:r>
      <w:r>
        <w:t xml:space="preserve"> </w:t>
      </w:r>
      <w:r>
        <w:t xml:space="preserve">files exist in the</w:t>
      </w:r>
      <w:r>
        <w:t xml:space="preserve"> </w:t>
      </w:r>
      <w:r>
        <w:t xml:space="preserve">repo.</w:t>
      </w:r>
      <w:r>
        <w:t xml:space="preserve"> </w:t>
      </w:r>
      <w:r>
        <w:rPr>
          <w:rStyle w:val="VerbatimChar"/>
        </w:rPr>
        <w:t xml:space="preserve">template_id</w:t>
      </w:r>
      <w:r>
        <w:t xml:space="preserve"> </w:t>
      </w:r>
      <w:r>
        <w:t xml:space="preserve">is the literal string</w:t>
      </w:r>
      <w:r>
        <w:t xml:space="preserve"> </w:t>
      </w:r>
      <w:r>
        <w:rPr>
          <w:rStyle w:val="VerbatimChar"/>
        </w:rPr>
        <w:t xml:space="preserve">"generic"</w:t>
      </w:r>
      <w:r>
        <w:t xml:space="preserve"> </w:t>
      </w:r>
      <w:r>
        <w:t xml:space="preserve">— and is in fact never</w:t>
      </w:r>
      <w:r>
        <w:t xml:space="preserve"> </w:t>
      </w:r>
      <w:r>
        <w:t xml:space="preserve">written by any code path, so it is always the column default.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AQL.</w:t>
      </w:r>
      <w:r>
        <w:t xml:space="preserve"> </w:t>
      </w:r>
      <w:r>
        <w:t xml:space="preserve">No AQL string, no</w:t>
      </w:r>
      <w:r>
        <w:t xml:space="preserve"> </w:t>
      </w:r>
      <w:r>
        <w:rPr>
          <w:rStyle w:val="VerbatimChar"/>
        </w:rPr>
        <w:t xml:space="preserve">/query/aql</w:t>
      </w:r>
      <w:r>
        <w:t xml:space="preserve"> </w:t>
      </w:r>
      <w:r>
        <w:t xml:space="preserve">call, no query builder. The</w:t>
      </w:r>
      <w:r>
        <w:t xml:space="preserve"> </w:t>
      </w:r>
      <w:r>
        <w:t xml:space="preserve">“AQL-lite”</w:t>
      </w:r>
      <w:r>
        <w:t xml:space="preserve"> </w:t>
      </w:r>
      <w:r>
        <w:t xml:space="preserve">search endpoint was removed; only read-by-GUID survives.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UCUM validation or unit conversion.</w:t>
      </w:r>
      <w:r>
        <w:t xml:space="preserve"> </w:t>
      </w:r>
      <w:r>
        <w:t xml:space="preserve">Whatever display string arrives</w:t>
      </w:r>
      <w:r>
        <w:t xml:space="preserve"> </w:t>
      </w:r>
      <w:r>
        <w:t xml:space="preserve">lands directly in</w:t>
      </w:r>
      <w:r>
        <w:t xml:space="preserve"> </w:t>
      </w:r>
      <w:r>
        <w:rPr>
          <w:rStyle w:val="VerbatimChar"/>
        </w:rPr>
        <w:t xml:space="preserve">DV_QUANTITY.units</w:t>
      </w:r>
      <w:r>
        <w:t xml:space="preserve">. A source sending</w:t>
      </w:r>
      <w:r>
        <w:t xml:space="preserve"> </w:t>
      </w:r>
      <w:r>
        <w:rPr>
          <w:rStyle w:val="VerbatimChar"/>
        </w:rPr>
        <w:t xml:space="preserve">"lbs"</w:t>
      </w:r>
      <w:r>
        <w:t xml:space="preserve"> </w:t>
      </w:r>
      <w:r>
        <w:t xml:space="preserve">for body</w:t>
      </w:r>
      <w:r>
        <w:t xml:space="preserve"> </w:t>
      </w:r>
      <w:r>
        <w:t xml:space="preserve">weight produces a valid-looking composition with</w:t>
      </w:r>
      <w:r>
        <w:t xml:space="preserve"> </w:t>
      </w:r>
      <w:r>
        <w:rPr>
          <w:rStyle w:val="VerbatimChar"/>
        </w:rPr>
        <w:t xml:space="preserve">units: "lbs"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Coded values essentially unhandled.</w:t>
      </w:r>
      <w:r>
        <w:t xml:space="preserve"> </w:t>
      </w:r>
      <w:r>
        <w:rPr>
          <w:rStyle w:val="VerbatimChar"/>
        </w:rPr>
        <w:t xml:space="preserve">DV_CODED_TEXT</w:t>
      </w:r>
      <w:r>
        <w:t xml:space="preserve"> </w:t>
      </w:r>
      <w:r>
        <w:t xml:space="preserve">appears nowhere.</w:t>
      </w:r>
      <w:r>
        <w:t xml:space="preserve"> </w:t>
      </w:r>
      <w:r>
        <w:t xml:space="preserve">LOINC coding is discarded in the FHIR→openEHR direction.</w:t>
      </w:r>
    </w:p>
    <w:bookmarkEnd w:id="17"/>
    <w:bookmarkStart w:id="18" w:name="finding-5-upstream-value-typing-defects"/>
    <w:p>
      <w:pPr>
        <w:pStyle w:val="Heading2"/>
      </w:pPr>
      <w:r>
        <w:t xml:space="preserve">Finding 5 — upstream value-typing defects</w:t>
      </w:r>
    </w:p>
    <w:p>
      <w:pPr>
        <w:pStyle w:val="FirstParagraph"/>
      </w:pPr>
      <w:r>
        <w:t xml:space="preserve">These originate in gateway and corrupt data before openEHR is even reached.</w:t>
      </w:r>
    </w:p>
    <w:p>
      <w:pPr>
        <w:pStyle w:val="Compact"/>
        <w:numPr>
          <w:ilvl w:val="0"/>
          <w:numId w:val="1004"/>
        </w:numPr>
      </w:pPr>
      <w:r>
        <w:t xml:space="preserve">Every value is passed through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, so a categorical answer of</w:t>
      </w:r>
      <w:r>
        <w:t xml:space="preserve"> </w:t>
      </w:r>
      <w:r>
        <w:rPr>
          <w:rStyle w:val="VerbatimChar"/>
        </w:rPr>
        <w:t xml:space="preserve">"120"</w:t>
      </w:r>
      <w:r>
        <w:t xml:space="preserve"> </w:t>
      </w:r>
      <w:r>
        <w:t xml:space="preserve">silently becomes a numeric</w:t>
      </w:r>
      <w:r>
        <w:t xml:space="preserve"> </w:t>
      </w:r>
      <w:r>
        <w:rPr>
          <w:rStyle w:val="VerbatimChar"/>
        </w:rPr>
        <w:t xml:space="preserve">valueQuantity</w:t>
      </w:r>
      <w:r>
        <w:t xml:space="preserve"> </w:t>
      </w:r>
      <w:r>
        <w:t xml:space="preserve">— with the concept’s unit attached.</w:t>
      </w:r>
    </w:p>
    <w:p>
      <w:pPr>
        <w:pStyle w:val="Compact"/>
        <w:numPr>
          <w:ilvl w:val="0"/>
          <w:numId w:val="1004"/>
        </w:numPr>
      </w:pPr>
      <w:r>
        <w:t xml:space="preserve">Booleans become the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"False"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unit_display</w:t>
      </w:r>
      <w:r>
        <w:t xml:space="preserve"> </w:t>
      </w:r>
      <w:r>
        <w:t xml:space="preserve">(human-readable) is used as the machine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plan_definition_guid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requesting_org_guid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requester_user_guid</w:t>
      </w:r>
      <w:r>
        <w:t xml:space="preserve"> </w:t>
      </w:r>
      <w:r>
        <w:t xml:space="preserve">never</w:t>
      </w:r>
      <w:r>
        <w:t xml:space="preserve"> </w:t>
      </w:r>
      <w:r>
        <w:t xml:space="preserve">reach CDR1, because the forwarder calls the builder with</w:t>
      </w:r>
      <w:r>
        <w:t xml:space="preserve"> </w:t>
      </w:r>
      <w:r>
        <w:rPr>
          <w:rStyle w:val="VerbatimChar"/>
        </w:rPr>
        <w:t xml:space="preserve">sr_contexts=None</w:t>
      </w:r>
      <w:r>
        <w:t xml:space="preserve">.</w:t>
      </w:r>
    </w:p>
    <w:bookmarkEnd w:id="18"/>
    <w:bookmarkEnd w:id="19"/>
    <w:bookmarkStart w:id="20" w:name="X4219fba315cb79e6f88408b0bcced4660ada24f"/>
    <w:p>
      <w:pPr>
        <w:pStyle w:val="Heading1"/>
      </w:pPr>
      <w:r>
        <w:t xml:space="preserve">Part 3 — Why today’s output cannot be transferred</w:t>
      </w:r>
    </w:p>
    <w:p>
      <w:pPr>
        <w:pStyle w:val="FirstParagraph"/>
      </w:pPr>
      <w:r>
        <w:t xml:space="preserve">If you POST a current composition to a conformant openEHR CDR, it fails</w:t>
      </w:r>
      <w:r>
        <w:t xml:space="preserve"> </w:t>
      </w:r>
      <w:r>
        <w:t xml:space="preserve">validation before it is ever stored. Concretely: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template.</w:t>
      </w:r>
      <w:r>
        <w:t xml:space="preserve"> </w:t>
      </w:r>
      <w:r>
        <w:rPr>
          <w:rStyle w:val="VerbatimChar"/>
        </w:rPr>
        <w:t xml:space="preserve">template_id: "generic"</w:t>
      </w:r>
      <w:r>
        <w:t xml:space="preserve"> </w:t>
      </w:r>
      <w:r>
        <w:t xml:space="preserve">does not identify a real OPT. The</w:t>
      </w:r>
      <w:r>
        <w:t xml:space="preserve"> </w:t>
      </w:r>
      <w:r>
        <w:t xml:space="preserve">server has nothing to validate against and rejects immediately.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 mandatory RM attributes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composer</w:t>
      </w:r>
      <w:r>
        <w:t xml:space="preserve"> </w:t>
      </w:r>
      <w:r>
        <w:t xml:space="preserve">— each a hard validation error.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archetype_node_id</w:t>
      </w:r>
      <w:r>
        <w:t xml:space="preserve"> </w:t>
      </w:r>
      <w:r>
        <w:t xml:space="preserve">on every node — the server cannot bind any</w:t>
      </w:r>
      <w:r>
        <w:t xml:space="preserve"> </w:t>
      </w:r>
      <w:r>
        <w:t xml:space="preserve">value to a template path.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ELEMENT</w:t>
      </w:r>
      <w:r>
        <w:rPr>
          <w:b/>
          <w:bCs/>
        </w:rP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— values sit at a path that does not exist in any</w:t>
      </w:r>
      <w:r>
        <w:t xml:space="preserve"> </w:t>
      </w:r>
      <w:r>
        <w:t xml:space="preserve">archetype.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subject</w:t>
      </w:r>
      <w:r>
        <w:t xml:space="preserve"> </w:t>
      </w:r>
      <w:r>
        <w:t xml:space="preserve">— the server cannot associate the composition with an EHR.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Wrong archetype</w:t>
      </w:r>
      <w:r>
        <w:t xml:space="preserve"> </w:t>
      </w:r>
      <w:r>
        <w:t xml:space="preserve">— even if all the above were fixed, the data would be</w:t>
      </w:r>
      <w:r>
        <w:t xml:space="preserve"> </w:t>
      </w:r>
      <w:r>
        <w:t xml:space="preserve">filed as lab results.</w:t>
      </w:r>
    </w:p>
    <w:p>
      <w:pPr>
        <w:pStyle w:val="FirstParagraph"/>
      </w:pPr>
      <w:r>
        <w:t xml:space="preserve">This is why the recommendation is</w:t>
      </w:r>
      <w:r>
        <w:t xml:space="preserve"> </w:t>
      </w:r>
      <w:r>
        <w:rPr>
          <w:b/>
          <w:bCs/>
        </w:rPr>
        <w:t xml:space="preserve">regenerate, not migrate</w:t>
      </w:r>
      <w:r>
        <w:t xml:space="preserve">. Transforming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composition_json</w:t>
      </w:r>
      <w:r>
        <w:t xml:space="preserve"> </w:t>
      </w:r>
      <w:r>
        <w:t xml:space="preserve">would carry defects 4, 5 and 6 into the target</w:t>
      </w:r>
      <w:r>
        <w:t xml:space="preserve"> </w:t>
      </w:r>
      <w:r>
        <w:t xml:space="preserve">system, where they become much more expensive to correct.</w:t>
      </w:r>
    </w:p>
    <w:bookmarkEnd w:id="20"/>
    <w:bookmarkStart w:id="27" w:name="X7b20c5f98d82accbdc507c39532a937927a8e45"/>
    <w:p>
      <w:pPr>
        <w:pStyle w:val="Heading1"/>
      </w:pPr>
      <w:r>
        <w:t xml:space="preserve">Part 4 — Recommended strategy: template-first</w:t>
      </w:r>
    </w:p>
    <w:p>
      <w:pPr>
        <w:pStyle w:val="BlockText"/>
      </w:pPr>
      <w:r>
        <w:rPr>
          <w:b/>
          <w:bCs/>
        </w:rPr>
        <w:t xml:space="preserve">Where this work lives.</w:t>
      </w:r>
      <w:r>
        <w:t xml:space="preserve"> </w:t>
      </w:r>
      <w:r>
        <w:t xml:space="preserve">Per the consolidation decision (#511), all of the</w:t>
      </w:r>
      <w:r>
        <w:t xml:space="preserve"> </w:t>
      </w:r>
      <w:r>
        <w:t xml:space="preserve">build steps below are implemented in</w:t>
      </w:r>
      <w:r>
        <w:t xml:space="preserve"> </w:t>
      </w:r>
      <w:r>
        <w:rPr>
          <w:rStyle w:val="VerbatimChar"/>
          <w:b/>
          <w:bCs/>
        </w:rPr>
        <w:t xml:space="preserve">rosetta.pdhc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cdr.pdhc</w:t>
      </w:r>
      <w:r>
        <w:t xml:space="preserve">.</w:t>
      </w:r>
      <w:r>
        <w:t xml:space="preserve"> </w:t>
      </w:r>
      <w:r>
        <w:t xml:space="preserve">Rosetta already holds the right schema (a canonical cache plus FHIR / openEHR /</w:t>
      </w:r>
      <w:r>
        <w:t xml:space="preserve"> </w:t>
      </w:r>
      <w:r>
        <w:t xml:space="preserve">OMOP projections) and the right security posture, and is empty of data.</w:t>
      </w:r>
      <w:r>
        <w:t xml:space="preserve"> </w:t>
      </w:r>
      <w:r>
        <w:rPr>
          <w:rStyle w:val="VerbatimChar"/>
        </w:rPr>
        <w:t xml:space="preserve">gateway.pdhc</w:t>
      </w:r>
      <w:r>
        <w:t xml:space="preserve"> </w:t>
      </w:r>
      <w:r>
        <w:t xml:space="preserve">supplies the canonical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(Steps 0 below); rosetta</w:t>
      </w:r>
      <w:r>
        <w:t xml:space="preserve"> </w:t>
      </w:r>
      <w:r>
        <w:t xml:space="preserve">renders and delivers;</w:t>
      </w:r>
      <w:r>
        <w:t xml:space="preserve"> </w:t>
      </w:r>
      <w:r>
        <w:rPr>
          <w:rStyle w:val="VerbatimChar"/>
        </w:rPr>
        <w:t xml:space="preserve">cdr</w:t>
      </w:r>
      <w:r>
        <w:t xml:space="preserve">’s duplicate emitter is retired afterwards (#509).</w:t>
      </w:r>
    </w:p>
    <w:bookmarkStart w:id="21" w:name="X465692bba481b22c40461e997f1c99f008abd81"/>
    <w:p>
      <w:pPr>
        <w:pStyle w:val="Heading2"/>
      </w:pPr>
      <w:r>
        <w:t xml:space="preserve">Step 0 — Fix the source before rendering (gateway)</w:t>
      </w:r>
    </w:p>
    <w:p>
      <w:pPr>
        <w:pStyle w:val="FirstParagraph"/>
      </w:pPr>
      <w:r>
        <w:t xml:space="preserve">Two gateway defects corrupt values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rendering and must be fixed</w:t>
      </w:r>
      <w:r>
        <w:t xml:space="preserve"> </w:t>
      </w:r>
      <w:r>
        <w:t xml:space="preserve">first, or rosetta will faithfully reproduce the corruption: numeric coercion of</w:t>
      </w:r>
      <w:r>
        <w:t xml:space="preserve"> </w:t>
      </w:r>
      <w:r>
        <w:t xml:space="preserve">every value (categorical</w:t>
      </w:r>
      <w:r>
        <w:t xml:space="preserve"> </w:t>
      </w:r>
      <w:r>
        <w:rPr>
          <w:rStyle w:val="VerbatimChar"/>
        </w:rPr>
        <w:t xml:space="preserve">"120"</w:t>
      </w:r>
      <w:r>
        <w:t xml:space="preserve"> </w:t>
      </w:r>
      <w:r>
        <w:t xml:space="preserve">→ quantity) and booleans serialised as the</w:t>
      </w:r>
      <w:r>
        <w:t xml:space="preserve"> </w:t>
      </w:r>
      <w:r>
        <w:t xml:space="preserve">strings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/</w:t>
      </w:r>
      <w:r>
        <w:rPr>
          <w:rStyle w:val="VerbatimChar"/>
        </w:rPr>
        <w:t xml:space="preserve">"False"</w:t>
      </w:r>
      <w:r>
        <w:t xml:space="preserve"> </w:t>
      </w:r>
      <w:r>
        <w:t xml:space="preserve">(#489), plus provenance dropped because the forwarder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sr_contexts=None</w:t>
      </w:r>
      <w:r>
        <w:t xml:space="preserve"> </w:t>
      </w:r>
      <w:r>
        <w:t xml:space="preserve">(#490). Then gateway emits a canonical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block in its envelope (#500) as the single source both projections read.</w:t>
      </w:r>
    </w:p>
    <w:bookmarkEnd w:id="21"/>
    <w:bookmarkStart w:id="22" w:name="step-1-model-before-you-code"/>
    <w:p>
      <w:pPr>
        <w:pStyle w:val="Heading2"/>
      </w:pPr>
      <w:r>
        <w:t xml:space="preserve">Step 1 — Model before you code</w:t>
      </w:r>
    </w:p>
    <w:p>
      <w:pPr>
        <w:pStyle w:val="FirstParagraph"/>
      </w:pPr>
      <w:r>
        <w:t xml:space="preserve">The real work is clinical modelling, not Python. Using</w:t>
      </w:r>
      <w:r>
        <w:t xml:space="preserve"> </w:t>
      </w:r>
      <w:r>
        <w:rPr>
          <w:b/>
          <w:bCs/>
        </w:rPr>
        <w:t xml:space="preserve">Archetype Designer</w:t>
      </w:r>
      <w:r>
        <w:t xml:space="preserve"> </w:t>
      </w:r>
      <w:r>
        <w:t xml:space="preserve">(free, web-based), build templates over existing CKM archetypes and export</w:t>
      </w:r>
      <w:r>
        <w:t xml:space="preserve"> </w:t>
      </w:r>
      <w:r>
        <w:t xml:space="preserve">operational templates (</w:t>
      </w:r>
      <w:r>
        <w:rPr>
          <w:rStyle w:val="VerbatimChar"/>
        </w:rPr>
        <w:t xml:space="preserve">.opt</w:t>
      </w:r>
      <w:r>
        <w:t xml:space="preserve">).</w:t>
      </w:r>
    </w:p>
    <w:p>
      <w:pPr>
        <w:pStyle w:val="BodyText"/>
      </w:pPr>
      <w:r>
        <w:t xml:space="preserve">Start with the smallest set that covers real traffic — likely three: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vitals</w:t>
      </w:r>
      <w:r>
        <w:t xml:space="preserve"> </w:t>
      </w:r>
      <w:r>
        <w:t xml:space="preserve">template (weight, height, BP, pulse, temperature, SpO2),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laboratory result</w:t>
      </w:r>
      <w:r>
        <w:t xml:space="preserve"> </w:t>
      </w:r>
      <w:r>
        <w:t xml:space="preserve">template,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questionnaire / patient-reported</w:t>
      </w:r>
      <w:r>
        <w:t xml:space="preserve"> </w:t>
      </w:r>
      <w:r>
        <w:t xml:space="preserve">template.</w:t>
      </w:r>
    </w:p>
    <w:p>
      <w:pPr>
        <w:pStyle w:val="FirstParagraph"/>
      </w:pPr>
      <w:r>
        <w:t xml:space="preserve">Commit the</w:t>
      </w:r>
      <w:r>
        <w:t xml:space="preserve"> </w:t>
      </w:r>
      <w:r>
        <w:rPr>
          <w:rStyle w:val="VerbatimChar"/>
        </w:rPr>
        <w:t xml:space="preserve">.opt</w:t>
      </w:r>
      <w:r>
        <w:t xml:space="preserve"> </w:t>
      </w:r>
      <w:r>
        <w:t xml:space="preserve">files to the repo. They are source artifacts, not build</w:t>
      </w:r>
      <w:r>
        <w:t xml:space="preserve"> </w:t>
      </w:r>
      <w:r>
        <w:t xml:space="preserve">output.</w:t>
      </w:r>
    </w:p>
    <w:p>
      <w:pPr>
        <w:pStyle w:val="BodyText"/>
      </w:pPr>
      <w:r>
        <w:rPr>
          <w:i/>
          <w:iCs/>
        </w:rPr>
        <w:t xml:space="preserve">This step is a prerequisite for every following step. Nothing can be validated</w:t>
      </w:r>
      <w:r>
        <w:rPr>
          <w:i/>
          <w:iCs/>
        </w:rPr>
        <w:t xml:space="preserve"> </w:t>
      </w:r>
      <w:r>
        <w:rPr>
          <w:i/>
          <w:iCs/>
        </w:rPr>
        <w:t xml:space="preserve">until an OPT exists.</w:t>
      </w:r>
    </w:p>
    <w:bookmarkEnd w:id="22"/>
    <w:bookmarkStart w:id="23" w:name="X2575662f27f5285db48db24a24bc18f5ae98d3f"/>
    <w:p>
      <w:pPr>
        <w:pStyle w:val="Heading2"/>
      </w:pPr>
      <w:r>
        <w:t xml:space="preserve">Step 2 — Re-key the archetype mapping on</w:t>
      </w:r>
      <w:r>
        <w:t xml:space="preserve"> </w:t>
      </w:r>
      <w:r>
        <w:rPr>
          <w:rStyle w:val="VerbatimChar"/>
        </w:rPr>
        <w:t xml:space="preserve">concept_guid</w:t>
      </w:r>
    </w:p>
    <w:p>
      <w:pPr>
        <w:pStyle w:val="FirstParagraph"/>
      </w:pPr>
      <w:r>
        <w:t xml:space="preserve">The dead</w:t>
      </w:r>
      <w:r>
        <w:t xml:space="preserve"> </w:t>
      </w:r>
      <w:r>
        <w:rPr>
          <w:rStyle w:val="VerbatimChar"/>
        </w:rPr>
        <w:t xml:space="preserve">loinc_archetype_map</w:t>
      </w:r>
      <w:r>
        <w:t xml:space="preserve"> </w:t>
      </w:r>
      <w:r>
        <w:t xml:space="preserve">table has the right idea and the wrong key.</w:t>
      </w:r>
      <w:r>
        <w:t xml:space="preserve"> </w:t>
      </w:r>
      <w:r>
        <w:t xml:space="preserve">Replace it with a mapping keyed on what PDHC actually carries:</w:t>
      </w:r>
    </w:p>
    <w:p>
      <w:pPr>
        <w:pStyle w:val="SourceCode"/>
      </w:pPr>
      <w:r>
        <w:rPr>
          <w:rStyle w:val="VerbatimChar"/>
        </w:rPr>
        <w:t xml:space="preserve">concept_guid → (template_id, archetype_id, archetype_node_id, ucum_unit)</w:t>
      </w:r>
    </w:p>
    <w:p>
      <w:pPr>
        <w:pStyle w:val="FirstParagraph"/>
      </w:pPr>
      <w:r>
        <w:t xml:space="preserve">The unit is canonical on the plan.pdhc concept, so the UCUM code should be</w:t>
      </w:r>
      <w:r>
        <w:t xml:space="preserve"> </w:t>
      </w:r>
      <w:r>
        <w:t xml:space="preserve">sourced from there — not from</w:t>
      </w:r>
      <w:r>
        <w:t xml:space="preserve"> </w:t>
      </w:r>
      <w:r>
        <w:rPr>
          <w:rStyle w:val="VerbatimChar"/>
        </w:rPr>
        <w:t xml:space="preserve">unit_display</w:t>
      </w:r>
      <w:r>
        <w:t xml:space="preserve">. Seed it, and make unmapped</w:t>
      </w:r>
      <w:r>
        <w:t xml:space="preserve"> </w:t>
      </w:r>
      <w:r>
        <w:t xml:space="preserve">concepts a</w:t>
      </w:r>
      <w:r>
        <w:t xml:space="preserve"> </w:t>
      </w:r>
      <w:r>
        <w:rPr>
          <w:b/>
          <w:bCs/>
        </w:rPr>
        <w:t xml:space="preserve">loud failure</w:t>
      </w:r>
      <w:r>
        <w:t xml:space="preserve"> </w:t>
      </w:r>
      <w:r>
        <w:t xml:space="preserve">rather than a silent fallback. The current silent</w:t>
      </w:r>
      <w:r>
        <w:t xml:space="preserve"> </w:t>
      </w:r>
      <w:r>
        <w:t xml:space="preserve">fallback is exactly what produced 7,065 mislabelled rows.</w:t>
      </w:r>
    </w:p>
    <w:bookmarkEnd w:id="23"/>
    <w:bookmarkStart w:id="24" w:name="step-3-emit-flat-simsdt-not-canonical"/>
    <w:p>
      <w:pPr>
        <w:pStyle w:val="Heading2"/>
      </w:pPr>
      <w:r>
        <w:t xml:space="preserve">Step 3 — Emit FLAT (simSDT), not canonical</w:t>
      </w:r>
    </w:p>
    <w:p>
      <w:pPr>
        <w:pStyle w:val="FirstParagraph"/>
      </w:pPr>
      <w:r>
        <w:t xml:space="preserve">Replace the hand-rolled dict builder with a FLAT emitter: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"vitals/body_weight/any_event:0/weight|magnitude"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"vitals/body_weight/any_event:0/weight|unit"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"vitals/context/start_time"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"2026-07-08T21:09:21Z"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"vitals/language"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"vitals/territory"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"vitals/composer|name"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"gateway.pdhc"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server expands this against the OPT and builds the RM tree. This eliminates</w:t>
      </w:r>
      <w:r>
        <w:t xml:space="preserve"> </w:t>
      </w:r>
      <w:r>
        <w:t xml:space="preserve">the entire class of defects in Finding 1.</w:t>
      </w:r>
    </w:p>
    <w:p>
      <w:pPr>
        <w:pStyle w:val="BodyText"/>
      </w:pPr>
      <w:r>
        <w:t xml:space="preserve">Response types then map cleanly: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PDHC</w:t>
            </w:r>
            <w:r>
              <w:t xml:space="preserve"> </w:t>
            </w:r>
            <w:r>
              <w:rPr>
                <w:rStyle w:val="VerbatimChar"/>
              </w:rPr>
              <w:t xml:space="preserve">response_type</w:t>
            </w:r>
          </w:p>
        </w:tc>
        <w:tc>
          <w:tcPr/>
          <w:p>
            <w:pPr>
              <w:pStyle w:val="Compact"/>
            </w:pPr>
            <w:r>
              <w:t xml:space="preserve">openEHR 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DV_QUANTITY</w:t>
            </w:r>
            <w:r>
              <w:t xml:space="preserve"> </w:t>
            </w:r>
            <w:r>
              <w:t xml:space="preserve">(with UCUM unit)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DV_CODED_TEXT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DV_BOOLEAN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DV_DATE_TIME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DV_TEXT</w:t>
            </w:r>
          </w:p>
        </w:tc>
      </w:tr>
    </w:tbl>
    <w:p>
      <w:pPr>
        <w:pStyle w:val="BodyText"/>
      </w:pPr>
      <w:r>
        <w:t xml:space="preserve">Note this requires fixing the upstream coercion bugs (Finding 5) first, or</w:t>
      </w:r>
      <w:r>
        <w:t xml:space="preserve"> </w:t>
      </w:r>
      <w:r>
        <w:t xml:space="preserve">booleans will arrive as text and categoricals as quantities.</w:t>
      </w:r>
    </w:p>
    <w:bookmarkEnd w:id="24"/>
    <w:bookmarkStart w:id="25" w:name="step-4-establish-openehr-identity"/>
    <w:p>
      <w:pPr>
        <w:pStyle w:val="Heading2"/>
      </w:pPr>
      <w:r>
        <w:t xml:space="preserve">Step 4 — Establish openEHR identity</w:t>
      </w:r>
    </w:p>
    <w:p>
      <w:pPr>
        <w:pStyle w:val="FirstParagraph"/>
      </w:pPr>
      <w:r>
        <w:t xml:space="preserve">Create one</w:t>
      </w:r>
      <w:r>
        <w:t xml:space="preserve"> </w:t>
      </w:r>
      <w:r>
        <w:rPr>
          <w:b/>
          <w:bCs/>
        </w:rPr>
        <w:t xml:space="preserve">EHR per patient</w:t>
      </w:r>
      <w:r>
        <w:t xml:space="preserve">, with:</w:t>
      </w:r>
    </w:p>
    <w:p>
      <w:pPr>
        <w:pStyle w:val="SourceCode"/>
      </w:pPr>
      <w:r>
        <w:rPr>
          <w:rStyle w:val="StringTok"/>
        </w:rPr>
        <w:t xml:space="preserve">"subject"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"urn:pdhc:patient-guid"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"&lt;pdhc patient_guid&gt;"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br/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Then persist the returned</w:t>
      </w:r>
      <w:r>
        <w:t xml:space="preserve"> </w:t>
      </w:r>
      <w:r>
        <w:rPr>
          <w:rStyle w:val="VerbatimChar"/>
        </w:rPr>
        <w:t xml:space="preserve">ehr_id</w:t>
      </w:r>
      <w:r>
        <w:t xml:space="preserve"> </w:t>
      </w:r>
      <w:r>
        <w:t xml:space="preserve">against the patient. Today the composition</w:t>
      </w:r>
      <w:r>
        <w:t xml:space="preserve"> </w:t>
      </w:r>
      <w:r>
        <w:t xml:space="preserve">carries no subject at all, and the existing Cambio path uses</w:t>
      </w:r>
      <w:r>
        <w:t xml:space="preserve"> </w:t>
      </w:r>
      <w:r>
        <w:rPr>
          <w:i/>
          <w:iCs/>
        </w:rPr>
        <w:t xml:space="preserve">Cambio’s</w:t>
      </w:r>
      <w:r>
        <w:t xml:space="preserve"> </w:t>
      </w:r>
      <w:r>
        <w:t xml:space="preserve">patient</w:t>
      </w:r>
      <w:r>
        <w:t xml:space="preserve"> </w:t>
      </w:r>
      <w:r>
        <w:t xml:space="preserve">id under namespace</w:t>
      </w:r>
      <w:r>
        <w:t xml:space="preserve"> </w:t>
      </w:r>
      <w:r>
        <w:rPr>
          <w:rStyle w:val="VerbatimChar"/>
        </w:rPr>
        <w:t xml:space="preserve">"cambio"</w:t>
      </w:r>
      <w:r>
        <w:t xml:space="preserve"> </w:t>
      </w:r>
      <w:r>
        <w:t xml:space="preserve">— so the PDHC guid never appears on the openEHR</w:t>
      </w:r>
      <w:r>
        <w:t xml:space="preserve"> </w:t>
      </w:r>
      <w:r>
        <w:t xml:space="preserve">side. Agreeing the namespace with the receiving party is a</w:t>
      </w:r>
      <w:r>
        <w:t xml:space="preserve"> </w:t>
      </w:r>
      <w:r>
        <w:rPr>
          <w:b/>
          <w:bCs/>
        </w:rPr>
        <w:t xml:space="preserve">contractual</w:t>
      </w:r>
      <w:r>
        <w:t xml:space="preserve"> </w:t>
      </w:r>
      <w:r>
        <w:t xml:space="preserve">decision, not a technical one.</w:t>
      </w:r>
    </w:p>
    <w:bookmarkEnd w:id="25"/>
    <w:bookmarkStart w:id="26" w:name="step-5-generate-from-the-canonical-layer"/>
    <w:p>
      <w:pPr>
        <w:pStyle w:val="Heading2"/>
      </w:pPr>
      <w:r>
        <w:t xml:space="preserve">Step 5 — Generate from the canonical layer</w:t>
      </w:r>
    </w:p>
    <w:p>
      <w:pPr>
        <w:pStyle w:val="FirstParagraph"/>
      </w:pPr>
      <w:r>
        <w:t xml:space="preserve">Build compositions from the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data, not from the stored</w:t>
      </w:r>
      <w:r>
        <w:t xml:space="preserve"> </w:t>
      </w:r>
      <w:r>
        <w:rPr>
          <w:rStyle w:val="VerbatimChar"/>
        </w:rPr>
        <w:t xml:space="preserve">composition_json</w:t>
      </w:r>
      <w:r>
        <w:t xml:space="preserve">. Treat the existing 7,065 compositions as disposable derived</w:t>
      </w:r>
      <w:r>
        <w:t xml:space="preserve"> </w:t>
      </w:r>
      <w:r>
        <w:t xml:space="preserve">data. Keep the old table until the new path is verified, then drop it.</w:t>
      </w:r>
    </w:p>
    <w:bookmarkEnd w:id="26"/>
    <w:bookmarkEnd w:id="27"/>
    <w:bookmarkStart w:id="32" w:name="X8983e7fa7c3cee8c0190486f0da279ed3421700"/>
    <w:p>
      <w:pPr>
        <w:pStyle w:val="Heading1"/>
      </w:pPr>
      <w:r>
        <w:t xml:space="preserve">Part 5 — Proving a target server can receive your data</w:t>
      </w:r>
    </w:p>
    <w:bookmarkStart w:id="28" w:name="the-question-to-ask-first"/>
    <w:p>
      <w:pPr>
        <w:pStyle w:val="Heading2"/>
      </w:pPr>
      <w:r>
        <w:t xml:space="preserve">The question to ask first</w:t>
      </w:r>
    </w:p>
    <w:p>
      <w:pPr>
        <w:pStyle w:val="BlockText"/>
      </w:pPr>
      <w:r>
        <w:rPr>
          <w:b/>
          <w:bCs/>
        </w:rPr>
        <w:t xml:space="preserve">Can we upload our own operational template, or must we use templates you</w:t>
      </w:r>
      <w:r>
        <w:rPr>
          <w:b/>
          <w:bCs/>
        </w:rPr>
        <w:t xml:space="preserve"> </w:t>
      </w:r>
      <w:r>
        <w:rPr>
          <w:b/>
          <w:bCs/>
        </w:rPr>
        <w:t xml:space="preserve">already host?</w:t>
      </w:r>
    </w:p>
    <w:p>
      <w:pPr>
        <w:pStyle w:val="FirstParagraph"/>
      </w:pPr>
      <w:r>
        <w:t xml:space="preserve">If you control templates (typical for EHRbase), Steps 1–3 apply as written. If</w:t>
      </w:r>
      <w:r>
        <w:t xml:space="preserve"> </w:t>
      </w:r>
      <w:r>
        <w:t xml:space="preserve">the vendor controls them, Steps 1–2 become</w:t>
      </w:r>
      <w:r>
        <w:t xml:space="preserve"> </w:t>
      </w:r>
      <w:r>
        <w:rPr>
          <w:i/>
          <w:iCs/>
        </w:rPr>
        <w:t xml:space="preserve">“remodel PDHC data onto their</w:t>
      </w:r>
      <w:r>
        <w:rPr>
          <w:i/>
          <w:iCs/>
        </w:rPr>
        <w:t xml:space="preserve"> </w:t>
      </w:r>
      <w:r>
        <w:rPr>
          <w:i/>
          <w:iCs/>
        </w:rPr>
        <w:t xml:space="preserve">template”</w:t>
      </w:r>
      <w:r>
        <w:t xml:space="preserve"> </w:t>
      </w:r>
      <w:r>
        <w:t xml:space="preserve">— a different and larger project. Ask before designing anything.</w:t>
      </w:r>
    </w:p>
    <w:bookmarkEnd w:id="28"/>
    <w:bookmarkStart w:id="29" w:name="capability-probe-in-order"/>
    <w:p>
      <w:pPr>
        <w:pStyle w:val="Heading2"/>
      </w:pPr>
      <w:r>
        <w:t xml:space="preserve">Capability probe, in order</w:t>
      </w:r>
    </w:p>
    <w:p>
      <w:pPr>
        <w:pStyle w:val="FirstParagraph"/>
      </w:pPr>
      <w:r>
        <w:rPr>
          <w:b/>
          <w:bCs/>
        </w:rPr>
        <w:t xml:space="preserve">1. Does it speak the openEHR REST API, and which version?</w:t>
      </w:r>
    </w:p>
    <w:p>
      <w:pPr>
        <w:pStyle w:val="SourceCode"/>
      </w:pPr>
      <w:r>
        <w:rPr>
          <w:rStyle w:val="VerbatimChar"/>
        </w:rPr>
        <w:t xml:space="preserve">GET /rest/openehr/v1/definition/template/adl1.4    # lists uploaded OPTs</w:t>
      </w:r>
      <w:r>
        <w:br/>
      </w:r>
      <w:r>
        <w:rPr>
          <w:rStyle w:val="VerbatimChar"/>
        </w:rPr>
        <w:t xml:space="preserve">GET /rest/status                                   # EHRbase-specific</w:t>
      </w:r>
    </w:p>
    <w:p>
      <w:pPr>
        <w:pStyle w:val="FirstParagraph"/>
      </w:pPr>
      <w:r>
        <w:t xml:space="preserve">The spec’d base path is</w:t>
      </w:r>
      <w:r>
        <w:t xml:space="preserve"> </w:t>
      </w:r>
      <w:r>
        <w:rPr>
          <w:rStyle w:val="VerbatimChar"/>
        </w:rPr>
        <w:t xml:space="preserve">/rest/openehr/v1</w:t>
      </w:r>
      <w:r>
        <w:t xml:space="preserve">. Vendors differ — EHRbase, Better,</w:t>
      </w:r>
      <w:r>
        <w:t xml:space="preserve"> </w:t>
      </w:r>
      <w:r>
        <w:t xml:space="preserve">DIPS, Cambio, Code24. Some also expose ADL2 at</w:t>
      </w:r>
      <w:r>
        <w:t xml:space="preserve"> </w:t>
      </w:r>
      <w:r>
        <w:rPr>
          <w:rStyle w:val="VerbatimChar"/>
        </w:rPr>
        <w:t xml:space="preserve">/definition/template/adl2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Does it hold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template?</w:t>
      </w:r>
      <w:r>
        <w:t xml:space="preserve"> </w:t>
      </w:r>
      <w:r>
        <w:t xml:space="preserve">If your</w:t>
      </w:r>
      <w:r>
        <w:t xml:space="preserve"> </w:t>
      </w:r>
      <w:r>
        <w:rPr>
          <w:rStyle w:val="VerbatimChar"/>
        </w:rPr>
        <w:t xml:space="preserve">template_id</w:t>
      </w:r>
      <w:r>
        <w:t xml:space="preserve"> </w:t>
      </w:r>
      <w:r>
        <w:t xml:space="preserve">is not in that list,</w:t>
      </w:r>
      <w:r>
        <w:t xml:space="preserve"> </w:t>
      </w:r>
      <w:r>
        <w:t xml:space="preserve">every composition POST fails. Upload it:</w:t>
      </w:r>
    </w:p>
    <w:p>
      <w:pPr>
        <w:pStyle w:val="SourceCode"/>
      </w:pPr>
      <w:r>
        <w:rPr>
          <w:rStyle w:val="VerbatimChar"/>
        </w:rPr>
        <w:t xml:space="preserve">POST /rest/openehr/v1/definition/template/adl1.4</w:t>
      </w:r>
      <w:r>
        <w:br/>
      </w:r>
      <w:r>
        <w:rPr>
          <w:rStyle w:val="VerbatimChar"/>
        </w:rPr>
        <w:t xml:space="preserve">Content-Type: application/xml</w:t>
      </w:r>
    </w:p>
    <w:p>
      <w:pPr>
        <w:pStyle w:val="FirstParagraph"/>
      </w:pPr>
      <w:r>
        <w:t xml:space="preserve">Whether this succeeds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answer to the question above.</w:t>
      </w:r>
    </w:p>
    <w:p>
      <w:pPr>
        <w:pStyle w:val="BodyText"/>
      </w:pPr>
      <w:r>
        <w:rPr>
          <w:b/>
          <w:bCs/>
        </w:rPr>
        <w:t xml:space="preserve">3. Which composition formats does it accept?</w:t>
      </w:r>
      <w:r>
        <w:t xml:space="preserve"> </w:t>
      </w:r>
      <w:r>
        <w:t xml:space="preserve">Canonical, FLAT, or</w:t>
      </w:r>
      <w:r>
        <w:t xml:space="preserve"> </w:t>
      </w:r>
      <w:r>
        <w:t xml:space="preserve">STRUCTURED — this varies by vendor and is the most common integration surprise.</w:t>
      </w:r>
      <w:r>
        <w:t xml:space="preserve"> </w:t>
      </w:r>
      <w:r>
        <w:t xml:space="preserve">Test with the format you intend to send.</w:t>
      </w:r>
    </w:p>
    <w:p>
      <w:pPr>
        <w:pStyle w:val="BodyText"/>
      </w:pPr>
      <w:r>
        <w:rPr>
          <w:b/>
          <w:bCs/>
        </w:rPr>
        <w:t xml:space="preserve">4. Round-trip — the only proof that counts.</w:t>
      </w:r>
    </w:p>
    <w:p>
      <w:pPr>
        <w:pStyle w:val="SourceCode"/>
      </w:pPr>
      <w:r>
        <w:rPr>
          <w:rStyle w:val="VerbatimChar"/>
        </w:rPr>
        <w:t xml:space="preserve">POST /rest/openehr/v1/ehr                          # create EHR</w:t>
      </w:r>
      <w:r>
        <w:br/>
      </w:r>
      <w:r>
        <w:rPr>
          <w:rStyle w:val="VerbatimChar"/>
        </w:rPr>
        <w:t xml:space="preserve">POST /rest/openehr/v1/ehr/{ehr_id}/composition     # commit one canary</w:t>
      </w:r>
      <w:r>
        <w:br/>
      </w:r>
      <w:r>
        <w:rPr>
          <w:rStyle w:val="VerbatimChar"/>
        </w:rPr>
        <w:t xml:space="preserve">POST /rest/openehr/v1/query/aql                    # read it back</w:t>
      </w:r>
    </w:p>
    <w:p>
      <w:pPr>
        <w:pStyle w:val="FirstParagraph"/>
      </w:pPr>
      <w:r>
        <w:t xml:space="preserve">Read back via</w:t>
      </w:r>
      <w:r>
        <w:t xml:space="preserve"> </w:t>
      </w:r>
      <w:r>
        <w:rPr>
          <w:b/>
          <w:bCs/>
        </w:rPr>
        <w:t xml:space="preserve">AQL</w:t>
      </w:r>
      <w:r>
        <w:t xml:space="preserve">, not via composition GET — AQL exercises the server’s path</w:t>
      </w:r>
      <w:r>
        <w:t xml:space="preserve"> </w:t>
      </w:r>
      <w:r>
        <w:t xml:space="preserve">indexing, which is where template mismatches actually surface: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uid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o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[at0001]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[at0002]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[at0003]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items[at0004]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magnitude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EHR e </w:t>
      </w:r>
      <w:r>
        <w:rPr>
          <w:rStyle w:val="KeywordTok"/>
        </w:rPr>
        <w:t xml:space="preserve">CONTAINS</w:t>
      </w:r>
      <w:r>
        <w:rPr>
          <w:rStyle w:val="NormalTok"/>
        </w:rPr>
        <w:t xml:space="preserve"> COMPOSITION c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CONTAINS</w:t>
      </w:r>
      <w:r>
        <w:rPr>
          <w:rStyle w:val="NormalTok"/>
        </w:rPr>
        <w:t xml:space="preserve"> OBSERVATION o[openEHR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EHR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OBSERVATION.body_weight.v2]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archetype_details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template_id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'pdhc_vitals.v1'</w:t>
      </w:r>
    </w:p>
    <w:p>
      <w:pPr>
        <w:pStyle w:val="FirstParagraph"/>
      </w:pPr>
      <w:r>
        <w:t xml:space="preserve">If magnitude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unit come back matching the source, you have a real</w:t>
      </w:r>
      <w:r>
        <w:t xml:space="preserve"> </w:t>
      </w:r>
      <w:r>
        <w:t xml:space="preserve">capability proof. Anything less is not evidence.</w:t>
      </w:r>
    </w:p>
    <w:bookmarkEnd w:id="29"/>
    <w:bookmarkStart w:id="30" w:name="X94943d1f5d9987e4910f81701f10d9f4466775a"/>
    <w:p>
      <w:pPr>
        <w:pStyle w:val="Heading2"/>
      </w:pPr>
      <w:r>
        <w:t xml:space="preserve">Probe result — the external sandbox (2026-07-23, #508)</w:t>
      </w:r>
    </w:p>
    <w:p>
      <w:pPr>
        <w:pStyle w:val="FirstParagraph"/>
      </w:pPr>
      <w:r>
        <w:t xml:space="preserve">The operator’s sandbox is</w:t>
      </w:r>
      <w:r>
        <w:t xml:space="preserve"> </w:t>
      </w:r>
      <w:r>
        <w:rPr>
          <w:rStyle w:val="VerbatimChar"/>
          <w:b/>
          <w:bCs/>
        </w:rPr>
        <w:t xml:space="preserve">https://openehr.phanera.se</w:t>
      </w:r>
      <w:r>
        <w:t xml:space="preserve"> </w:t>
      </w:r>
      <w:r>
        <w:t xml:space="preserve">— Phanera’s</w:t>
      </w:r>
      <w:r>
        <w:t xml:space="preserve"> </w:t>
      </w:r>
      <w:r>
        <w:rPr>
          <w:b/>
          <w:bCs/>
        </w:rPr>
        <w:t xml:space="preserve">“ASHA-PDHC”</w:t>
      </w:r>
      <w:r>
        <w:t xml:space="preserve">, a custom ASP.NET Core teaching platform that orchestrates</w:t>
      </w:r>
      <w:r>
        <w:t xml:space="preserve"> </w:t>
      </w:r>
      <w:r>
        <w:t xml:space="preserve">docker-based openEHR CDR instances (backend behaviour consistent with EHRbase).</w:t>
      </w:r>
      <w:r>
        <w:t xml:space="preserve"> </w:t>
      </w:r>
      <w:r>
        <w:t xml:space="preserve">Read-only probe findings: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 we upload our own OPT? — YES.</w:t>
      </w:r>
      <w:r>
        <w:t xml:space="preserve"> </w:t>
      </w:r>
      <w:r>
        <w:rPr>
          <w:rStyle w:val="VerbatimChar"/>
        </w:rPr>
        <w:t xml:space="preserve">/Tools/Templates</w:t>
      </w:r>
      <w:r>
        <w:t xml:space="preserve"> </w:t>
      </w:r>
      <w:r>
        <w:t xml:space="preserve">accepts a multipart</w:t>
      </w:r>
      <w:r>
        <w:t xml:space="preserve"> </w:t>
      </w:r>
      <w:r>
        <w:rPr>
          <w:rStyle w:val="VerbatimChar"/>
        </w:rPr>
        <w:t xml:space="preserve">.opt</w:t>
      </w:r>
      <w:r>
        <w:t xml:space="preserve">/</w:t>
      </w:r>
      <w:r>
        <w:rPr>
          <w:rStyle w:val="VerbatimChar"/>
        </w:rPr>
        <w:t xml:space="preserve">.xml</w:t>
      </w:r>
      <w:r>
        <w:t xml:space="preserve"> </w:t>
      </w:r>
      <w:r>
        <w:t xml:space="preserve">upload (with versioning). Instance</w:t>
      </w:r>
      <w:r>
        <w:t xml:space="preserve"> </w:t>
      </w:r>
      <w:r>
        <w:rPr>
          <w:rStyle w:val="VerbatimChar"/>
          <w:b/>
          <w:bCs/>
        </w:rPr>
        <w:t xml:space="preserve">cdr1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</w:rPr>
        <w:t xml:space="preserve">“PDHC CDR”</w:t>
      </w:r>
      <w:r>
        <w:rPr>
          <w:b/>
          <w:bCs/>
        </w:rPr>
        <w:t xml:space="preserve">) is</w:t>
      </w:r>
      <w:r>
        <w:rPr>
          <w:b/>
          <w:bCs/>
        </w:rP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— a greenfield target for our first template. This answers the gating</w:t>
      </w:r>
      <w:r>
        <w:t xml:space="preserve"> </w:t>
      </w:r>
      <w:r>
        <w:t xml:space="preserve">question in the affirmative: we control templates.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Composition ingest is FLAT JSON</w:t>
      </w:r>
      <w:r>
        <w:t xml:space="preserve"> </w:t>
      </w:r>
      <w:r>
        <w:t xml:space="preserve">(single) or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(bulk, against a</w:t>
      </w:r>
      <w:r>
        <w:t xml:space="preserve"> </w:t>
      </w:r>
      <w:r>
        <w:t xml:space="preserve">template) — which</w:t>
      </w:r>
      <w:r>
        <w:t xml:space="preserve"> </w:t>
      </w:r>
      <w:r>
        <w:rPr>
          <w:b/>
          <w:bCs/>
        </w:rPr>
        <w:t xml:space="preserve">confirms Step 3’s FLAT recommendation</w:t>
      </w:r>
      <w:r>
        <w:t xml:space="preserve"> </w:t>
      </w:r>
      <w:r>
        <w:t xml:space="preserve">directly from the</w:t>
      </w:r>
      <w:r>
        <w:t xml:space="preserve"> </w:t>
      </w:r>
      <w:r>
        <w:t xml:space="preserve">target.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AQL is available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/Tools/Aql</w:t>
      </w:r>
      <w:r>
        <w:t xml:space="preserve">) — the round-trip read surface for Step 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 is ASP.NET form login</w:t>
      </w:r>
      <w:r>
        <w:t xml:space="preserve"> </w:t>
      </w:r>
      <w:r>
        <w:t xml:space="preserve">(session cookie + antiforgery token),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HTTP Basic / OAuth2 / a REST bearer.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standard openEHR REST API (</w:t>
      </w:r>
      <w:r>
        <w:rPr>
          <w:rStyle w:val="VerbatimChar"/>
          <w:b/>
          <w:bCs/>
        </w:rPr>
        <w:t xml:space="preserve">/rest/openehr/v1</w:t>
      </w:r>
      <w:r>
        <w:rPr>
          <w:b/>
          <w:bCs/>
        </w:rPr>
        <w:t xml:space="preserve">)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exposed</w:t>
      </w:r>
      <w:r>
        <w:t xml:space="preserve"> </w:t>
      </w:r>
      <w:r>
        <w:t xml:space="preserve">— it</w:t>
      </w:r>
      <w:r>
        <w:t xml:space="preserve"> </w:t>
      </w:r>
      <w:r>
        <w:t xml:space="preserve">404s even when authenticated. All access is via the app’s page handlers.</w:t>
      </w:r>
    </w:p>
    <w:p>
      <w:pPr>
        <w:pStyle w:val="FirstParagraph"/>
      </w:pPr>
      <w:r>
        <w:rPr>
          <w:b/>
          <w:bCs/>
        </w:rPr>
        <w:t xml:space="preserve">Consequence for delivery (#506).</w:t>
      </w:r>
      <w:r>
        <w:t xml:space="preserve"> </w:t>
      </w:r>
      <w:r>
        <w:t xml:space="preserve">Because there is no spec REST endpoint,</w:t>
      </w:r>
      <w:r>
        <w:t xml:space="preserve"> </w:t>
      </w:r>
      <w:r>
        <w:t xml:space="preserve">delivering</w:t>
      </w:r>
      <w:r>
        <w:t xml:space="preserve"> </w:t>
      </w:r>
      <w:r>
        <w:rPr>
          <w:i/>
          <w:iCs/>
        </w:rPr>
        <w:t xml:space="preserve">into this sandbox</w:t>
      </w:r>
      <w:r>
        <w:t xml:space="preserve"> </w:t>
      </w:r>
      <w:r>
        <w:t xml:space="preserve">means driving the app’s handlers (login →</w:t>
      </w:r>
      <w:r>
        <w:t xml:space="preserve"> </w:t>
      </w:r>
      <w:r>
        <w:t xml:space="preserve">antiforgery → multipart POST of FLAT JSON, or CSV bulk-import), i.e.</w:t>
      </w:r>
      <w:r>
        <w:t xml:space="preserve"> </w:t>
      </w:r>
      <w:r>
        <w:t xml:space="preserve">UI-automation rather than a REST client. Three options: (a) rosetta scripts the</w:t>
      </w:r>
      <w:r>
        <w:t xml:space="preserve"> </w:t>
      </w:r>
      <w:r>
        <w:t xml:space="preserve">app handlers; (b) ask Phanera to expose the backend EHRbase REST with a token;</w:t>
      </w:r>
      <w:r>
        <w:t xml:space="preserve"> </w:t>
      </w:r>
      <w:r>
        <w:t xml:space="preserve">(c) treat this sandbox as</w:t>
      </w:r>
      <w:r>
        <w:t xml:space="preserve"> </w:t>
      </w:r>
      <w:r>
        <w:rPr>
          <w:i/>
          <w:iCs/>
        </w:rPr>
        <w:t xml:space="preserve">learning-only</w:t>
      </w:r>
      <w:r>
        <w:t xml:space="preserve"> </w:t>
      </w:r>
      <w:r>
        <w:t xml:space="preserve">— walk its 4-step guide by hand — and</w:t>
      </w:r>
      <w:r>
        <w:t xml:space="preserve"> </w:t>
      </w:r>
      <w:r>
        <w:t xml:space="preserve">point rosetta’s production delivery at a spec-REST CDR later. The emitter format</w:t>
      </w:r>
      <w:r>
        <w:t xml:space="preserve"> </w:t>
      </w:r>
      <w:r>
        <w:t xml:space="preserve">(#504, FLAT) is unaffected and confirmed either way.</w:t>
      </w:r>
    </w:p>
    <w:bookmarkEnd w:id="30"/>
    <w:bookmarkStart w:id="31" w:name="a-second-test-target-you-already-have"/>
    <w:p>
      <w:pPr>
        <w:pStyle w:val="Heading2"/>
      </w:pPr>
      <w:r>
        <w:t xml:space="preserve">A second test target you already have</w:t>
      </w:r>
    </w:p>
    <w:p>
      <w:pPr>
        <w:pStyle w:val="FirstParagraph"/>
      </w:pPr>
      <w:r>
        <w:t xml:space="preserve">Cambio’s</w:t>
      </w:r>
      <w:r>
        <w:t xml:space="preserve"> </w:t>
      </w:r>
      <w:r>
        <w:rPr>
          <w:rStyle w:val="VerbatimChar"/>
        </w:rPr>
        <w:t xml:space="preserve">service.xcdr</w:t>
      </w:r>
      <w:r>
        <w:t xml:space="preserve"> </w:t>
      </w:r>
      <w:r>
        <w:t xml:space="preserve">sandbox is a real openEHR CDR, and the client code</w:t>
      </w:r>
      <w:r>
        <w:t xml:space="preserve"> </w:t>
      </w:r>
      <w:r>
        <w:t xml:space="preserve">already exists in</w:t>
      </w:r>
      <w:r>
        <w:t xml:space="preserve"> </w:t>
      </w:r>
      <w:r>
        <w:rPr>
          <w:rStyle w:val="VerbatimChar"/>
        </w:rPr>
        <w:t xml:space="preserve">cambio_client.py</w:t>
      </w:r>
      <w:r>
        <w:t xml:space="preserve"> </w:t>
      </w:r>
      <w:r>
        <w:t xml:space="preserve">(EHR create, composition POST, OAuth2).</w:t>
      </w:r>
      <w:r>
        <w:t xml:space="preserve"> </w:t>
      </w:r>
      <w:r>
        <w:t xml:space="preserve">Delivery is currently disabled by flag.</w:t>
      </w:r>
    </w:p>
    <w:p>
      <w:pPr>
        <w:pStyle w:val="BodyText"/>
      </w:pPr>
      <w:r>
        <w:t xml:space="preserve">Enabling it against the</w:t>
      </w:r>
      <w:r>
        <w:t xml:space="preserve"> </w:t>
      </w:r>
      <w:r>
        <w:rPr>
          <w:b/>
          <w:bCs/>
        </w:rPr>
        <w:t xml:space="preserve">sandbox</w:t>
      </w:r>
      <w:r>
        <w:t xml:space="preserve"> </w:t>
      </w:r>
      <w:r>
        <w:t xml:space="preserve">with the current payload would produce real</w:t>
      </w:r>
      <w:r>
        <w:t xml:space="preserve"> </w:t>
      </w:r>
      <w:r>
        <w:t xml:space="preserve">validation errors — which is genuinely the fastest way to learn the target’s</w:t>
      </w:r>
      <w:r>
        <w:t xml:space="preserve"> </w:t>
      </w:r>
      <w:r>
        <w:t xml:space="preserve">strictness. Treat that as a deliberate diagnostic experiment, not as a deploy,</w:t>
      </w:r>
      <w:r>
        <w:t xml:space="preserve"> </w:t>
      </w:r>
      <w:r>
        <w:t xml:space="preserve">and read the resulting 4xx bodies carefully.</w:t>
      </w:r>
    </w:p>
    <w:bookmarkEnd w:id="31"/>
    <w:bookmarkEnd w:id="32"/>
    <w:bookmarkStart w:id="34" w:name="part-6-execution-plan"/>
    <w:p>
      <w:pPr>
        <w:pStyle w:val="Heading1"/>
      </w:pPr>
      <w:r>
        <w:t xml:space="preserve">Part 6 — Execution plan</w:t>
      </w:r>
    </w:p>
    <w:p>
      <w:pPr>
        <w:pStyle w:val="FirstParagraph"/>
      </w:pPr>
      <w:r>
        <w:t xml:space="preserve">Recommended order. Steps 1–2 are prerequisites for everything else; the two</w:t>
      </w:r>
      <w:r>
        <w:t xml:space="preserve"> </w:t>
      </w:r>
      <w:r>
        <w:t xml:space="preserve">gateway defects should be fixed early because they corrupt data at source.</w:t>
      </w:r>
    </w:p>
    <w:p>
      <w:pPr>
        <w:pStyle w:val="BodyText"/>
      </w:pPr>
      <w:r>
        <w:t xml:space="preserve">Tracked under rollup</w:t>
      </w:r>
      <w:r>
        <w:t xml:space="preserve"> </w:t>
      </w:r>
      <w:r>
        <w:rPr>
          <w:b/>
          <w:bCs/>
        </w:rPr>
        <w:t xml:space="preserve">#511</w:t>
      </w:r>
      <w:r>
        <w:t xml:space="preserve"> </w:t>
      </w:r>
      <w:r>
        <w:t xml:space="preserve">(</w:t>
      </w:r>
      <w:r>
        <w:rPr>
          <w:rStyle w:val="VerbatimChar"/>
        </w:rPr>
        <w:t xml:space="preserve">cdr.pdhc</w:t>
      </w:r>
      <w:r>
        <w:t xml:space="preserve">). This replaces the earlier #487</w:t>
      </w:r>
      <w:r>
        <w:t xml:space="preserve"> </w:t>
      </w:r>
      <w:r>
        <w:t xml:space="preserve">set, which was re-issued after the consolidation onto</w:t>
      </w:r>
      <w:r>
        <w:t xml:space="preserve"> </w:t>
      </w:r>
      <w:r>
        <w:rPr>
          <w:rStyle w:val="VerbatimChar"/>
        </w:rPr>
        <w:t xml:space="preserve">rosetta.pdhc</w:t>
      </w:r>
      <w:r>
        <w:t xml:space="preserve"> </w:t>
      </w:r>
      <w:r>
        <w:t xml:space="preserve">(the old</w:t>
      </w:r>
      <w:r>
        <w:t xml:space="preserve"> </w:t>
      </w:r>
      <w:r>
        <w:t xml:space="preserve">tickets are closed with forward pointers to their successors).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#489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Fix value-typing defects (bool→string, categorical→quantity)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#490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Fix forwarder context loss +</w:t>
            </w:r>
            <w:r>
              <w:t xml:space="preserve"> </w:t>
            </w:r>
            <w:r>
              <w:rPr>
                <w:rStyle w:val="VerbatimChar"/>
              </w:rPr>
              <w:t xml:space="preserve">row.value</w:t>
            </w:r>
            <w:r>
              <w:t xml:space="preserve"> </w:t>
            </w:r>
            <w:r>
              <w:t xml:space="preserve">crash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#500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Emit canonical</w:t>
            </w:r>
            <w:r>
              <w:t xml:space="preserve"> </w:t>
            </w:r>
            <w:r>
              <w:rPr>
                <w:rStyle w:val="VerbatimChar"/>
              </w:rPr>
              <w:t xml:space="preserve">observation</w:t>
            </w:r>
            <w:r>
              <w:t xml:space="preserve"> </w:t>
            </w:r>
            <w:r>
              <w:t xml:space="preserve">block in the envelope</w:t>
            </w:r>
          </w:p>
        </w:tc>
        <w:tc>
          <w:tcPr/>
          <w:p>
            <w:pPr>
              <w:pStyle w:val="Compact"/>
            </w:pPr>
            <w:r>
              <w:t xml:space="preserve">#489, #490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#508</w:t>
            </w:r>
          </w:p>
        </w:tc>
        <w:tc>
          <w:tcPr/>
          <w:p>
            <w:pPr>
              <w:pStyle w:val="Compact"/>
            </w:pPr>
            <w:r>
              <w:t xml:space="preserve">rosetta</w:t>
            </w:r>
          </w:p>
        </w:tc>
        <w:tc>
          <w:tcPr/>
          <w:p>
            <w:pPr>
              <w:pStyle w:val="Compact"/>
            </w:pPr>
            <w:r>
              <w:t xml:space="preserve">Capability probe of the external sandbox CDR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#501</w:t>
            </w:r>
          </w:p>
        </w:tc>
        <w:tc>
          <w:tcPr/>
          <w:p>
            <w:pPr>
              <w:pStyle w:val="Compact"/>
            </w:pPr>
            <w:r>
              <w:t xml:space="preserve">rosetta</w:t>
            </w:r>
          </w:p>
        </w:tc>
        <w:tc>
          <w:tcPr/>
          <w:p>
            <w:pPr>
              <w:pStyle w:val="Compact"/>
            </w:pPr>
            <w:r>
              <w:t xml:space="preserve">Re-point input: canonical observation, not gateway FHIR</w:t>
            </w:r>
          </w:p>
        </w:tc>
        <w:tc>
          <w:tcPr/>
          <w:p>
            <w:pPr>
              <w:pStyle w:val="Compact"/>
            </w:pPr>
            <w:r>
              <w:t xml:space="preserve">#500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#502</w:t>
            </w:r>
          </w:p>
        </w:tc>
        <w:tc>
          <w:tcPr/>
          <w:p>
            <w:pPr>
              <w:pStyle w:val="Compact"/>
            </w:pPr>
            <w:r>
              <w:t xml:space="preserve">rosetta</w:t>
            </w:r>
          </w:p>
        </w:tc>
        <w:tc>
          <w:tcPr/>
          <w:p>
            <w:pPr>
              <w:pStyle w:val="Compact"/>
            </w:pPr>
            <w:r>
              <w:t xml:space="preserve">Author operational templates (</w:t>
            </w:r>
            <w:r>
              <w:rPr>
                <w:rStyle w:val="VerbatimChar"/>
              </w:rPr>
              <w:t xml:space="preserve">.opt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#508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#503</w:t>
            </w:r>
          </w:p>
        </w:tc>
        <w:tc>
          <w:tcPr/>
          <w:p>
            <w:pPr>
              <w:pStyle w:val="Compact"/>
            </w:pPr>
            <w:r>
              <w:t xml:space="preserve">rosetta</w:t>
            </w:r>
          </w:p>
        </w:tc>
        <w:tc>
          <w:tcPr/>
          <w:p>
            <w:pPr>
              <w:pStyle w:val="Compact"/>
            </w:pPr>
            <w:r>
              <w:t xml:space="preserve">concept_guid → archetype/template map</w:t>
            </w:r>
          </w:p>
        </w:tc>
        <w:tc>
          <w:tcPr/>
          <w:p>
            <w:pPr>
              <w:pStyle w:val="Compact"/>
            </w:pPr>
            <w:r>
              <w:t xml:space="preserve">#502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#504</w:t>
            </w:r>
          </w:p>
        </w:tc>
        <w:tc>
          <w:tcPr/>
          <w:p>
            <w:pPr>
              <w:pStyle w:val="Compact"/>
            </w:pPr>
            <w:r>
              <w:t xml:space="preserve">rosetta</w:t>
            </w:r>
          </w:p>
        </w:tc>
        <w:tc>
          <w:tcPr/>
          <w:p>
            <w:pPr>
              <w:pStyle w:val="Compact"/>
            </w:pPr>
            <w:r>
              <w:t xml:space="preserve">FLAT (simSDT) emitter from canonical</w:t>
            </w:r>
          </w:p>
        </w:tc>
        <w:tc>
          <w:tcPr/>
          <w:p>
            <w:pPr>
              <w:pStyle w:val="Compact"/>
            </w:pPr>
            <w:r>
              <w:t xml:space="preserve">#501, #502, #503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#505</w:t>
            </w:r>
          </w:p>
        </w:tc>
        <w:tc>
          <w:tcPr/>
          <w:p>
            <w:pPr>
              <w:pStyle w:val="Compact"/>
            </w:pPr>
            <w:r>
              <w:t xml:space="preserve">rosetta</w:t>
            </w:r>
          </w:p>
        </w:tc>
        <w:tc>
          <w:tcPr/>
          <w:p>
            <w:pPr>
              <w:pStyle w:val="Compact"/>
            </w:pPr>
            <w:r>
              <w:t xml:space="preserve">EHR identity + subject external_ref</w:t>
            </w:r>
          </w:p>
        </w:tc>
        <w:tc>
          <w:tcPr/>
          <w:p>
            <w:pPr>
              <w:pStyle w:val="Compact"/>
            </w:pPr>
            <w:r>
              <w:t xml:space="preserve">#502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#506</w:t>
            </w:r>
          </w:p>
        </w:tc>
        <w:tc>
          <w:tcPr/>
          <w:p>
            <w:pPr>
              <w:pStyle w:val="Compact"/>
            </w:pPr>
            <w:r>
              <w:t xml:space="preserve">rosetta</w:t>
            </w:r>
          </w:p>
        </w:tc>
        <w:tc>
          <w:tcPr/>
          <w:p>
            <w:pPr>
              <w:pStyle w:val="Compact"/>
            </w:pPr>
            <w:r>
              <w:t xml:space="preserve">openEHR REST delivery client → external sandbox</w:t>
            </w:r>
          </w:p>
        </w:tc>
        <w:tc>
          <w:tcPr/>
          <w:p>
            <w:pPr>
              <w:pStyle w:val="Compact"/>
            </w:pPr>
            <w:r>
              <w:t xml:space="preserve">#504, #505, #508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#507</w:t>
            </w:r>
          </w:p>
        </w:tc>
        <w:tc>
          <w:tcPr/>
          <w:p>
            <w:pPr>
              <w:pStyle w:val="Compact"/>
            </w:pPr>
            <w:r>
              <w:t xml:space="preserve">rosetta</w:t>
            </w:r>
          </w:p>
        </w:tc>
        <w:tc>
          <w:tcPr/>
          <w:p>
            <w:pPr>
              <w:pStyle w:val="Compact"/>
            </w:pPr>
            <w:r>
              <w:t xml:space="preserve">AQL round-trip conformance harness</w:t>
            </w:r>
          </w:p>
        </w:tc>
        <w:tc>
          <w:tcPr/>
          <w:p>
            <w:pPr>
              <w:pStyle w:val="Compact"/>
            </w:pPr>
            <w:r>
              <w:t xml:space="preserve">#506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#509</w:t>
            </w:r>
          </w:p>
        </w:tc>
        <w:tc>
          <w:tcPr/>
          <w:p>
            <w:pPr>
              <w:pStyle w:val="Compact"/>
            </w:pPr>
            <w:r>
              <w:t xml:space="preserve">cdr</w:t>
            </w:r>
          </w:p>
        </w:tc>
        <w:tc>
          <w:tcPr/>
          <w:p>
            <w:pPr>
              <w:pStyle w:val="Compact"/>
            </w:pPr>
            <w:r>
              <w:t xml:space="preserve">Clip redundant openEHR software once rosetta is green</w:t>
            </w:r>
          </w:p>
        </w:tc>
        <w:tc>
          <w:tcPr/>
          <w:p>
            <w:pPr>
              <w:pStyle w:val="Compact"/>
            </w:pPr>
            <w:r>
              <w:t xml:space="preserve">#504, #506</w:t>
            </w:r>
          </w:p>
        </w:tc>
        <w:tc>
          <w:tcPr/>
          <w:p>
            <w:pPr>
              <w:pStyle w:val="Compact"/>
            </w:pPr>
            <w:r>
              <w:t xml:space="preserve">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#510</w:t>
            </w:r>
          </w:p>
        </w:tc>
        <w:tc>
          <w:tcPr/>
          <w:p>
            <w:pPr>
              <w:pStyle w:val="Compact"/>
            </w:pPr>
            <w:r>
              <w:t xml:space="preserve">rosetta</w:t>
            </w:r>
          </w:p>
        </w:tc>
        <w:tc>
          <w:tcPr/>
          <w:p>
            <w:pPr>
              <w:pStyle w:val="Compact"/>
            </w:pPr>
            <w:r>
              <w:t xml:space="preserve">Fix OMOP concept-id type violation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path runs through #502 (templates)</w:t>
      </w:r>
      <w:r>
        <w:t xml:space="preserve"> </w:t>
      </w:r>
      <w:r>
        <w:t xml:space="preserve">— the only step that is not</w:t>
      </w:r>
      <w:r>
        <w:t xml:space="preserve"> </w:t>
      </w:r>
      <w:r>
        <w:t xml:space="preserve">primarily software. The</w:t>
      </w:r>
      <w:r>
        <w:t xml:space="preserve"> </w:t>
      </w:r>
      <w:r>
        <w:rPr>
          <w:b/>
          <w:bCs/>
        </w:rPr>
        <w:t xml:space="preserve">external sandbox</w:t>
      </w:r>
      <w:r>
        <w:t xml:space="preserve"> </w:t>
      </w:r>
      <w:r>
        <w:t xml:space="preserve">is the first delivery and</w:t>
      </w:r>
      <w:r>
        <w:t xml:space="preserve"> </w:t>
      </w:r>
      <w:r>
        <w:t xml:space="preserve">conformance target (#506/#507/#508); Cambio’s</w:t>
      </w:r>
      <w:r>
        <w:t xml:space="preserve"> </w:t>
      </w:r>
      <w:r>
        <w:rPr>
          <w:rStyle w:val="VerbatimChar"/>
        </w:rPr>
        <w:t xml:space="preserve">service.xcdr</w:t>
      </w:r>
      <w:r>
        <w:t xml:space="preserve"> </w:t>
      </w:r>
      <w:r>
        <w:t xml:space="preserve">remains a later,</w:t>
      </w:r>
      <w:r>
        <w:t xml:space="preserve"> </w:t>
      </w:r>
      <w:r>
        <w:t xml:space="preserve">Cambio-specific target.</w:t>
      </w:r>
    </w:p>
    <w:p>
      <w:pPr>
        <w:pStyle w:val="BodyText"/>
      </w:pPr>
      <w:r>
        <w:rPr>
          <w:b/>
          <w:bCs/>
        </w:rPr>
        <w:t xml:space="preserve">Redundant software is clipped, not left in place (#509).</w:t>
      </w:r>
      <w:r>
        <w:t xml:space="preserve"> </w:t>
      </w:r>
      <w:r>
        <w:t xml:space="preserve">Once rosetta’s</w:t>
      </w:r>
      <w:r>
        <w:t xml:space="preserve"> </w:t>
      </w:r>
      <w:r>
        <w:t xml:space="preserve">emitter and delivery round-trip green against the sandbox,</w:t>
      </w:r>
      <w:r>
        <w:t xml:space="preserve"> </w:t>
      </w:r>
      <w:r>
        <w:rPr>
          <w:rStyle w:val="VerbatimChar"/>
        </w:rPr>
        <w:t xml:space="preserve">cdr</w:t>
      </w:r>
      <w:r>
        <w:t xml:space="preserve">’s parallel</w:t>
      </w:r>
      <w:r>
        <w:t xml:space="preserve"> </w:t>
      </w:r>
      <w:r>
        <w:t xml:space="preserve">openEHR path —</w:t>
      </w:r>
      <w:r>
        <w:t xml:space="preserve"> </w:t>
      </w:r>
      <w:r>
        <w:rPr>
          <w:rStyle w:val="VerbatimChar"/>
        </w:rPr>
        <w:t xml:space="preserve">transformer.py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openehr_api.py</w:t>
      </w:r>
      <w:r>
        <w:t xml:space="preserve">, the Cambio openEHR delivery</w:t>
      </w:r>
      <w:r>
        <w:t xml:space="preserve"> </w:t>
      </w:r>
      <w:r>
        <w:t xml:space="preserve">branch, the dead</w:t>
      </w:r>
      <w:r>
        <w:t xml:space="preserve"> </w:t>
      </w:r>
      <w:r>
        <w:rPr>
          <w:rStyle w:val="VerbatimChar"/>
        </w:rPr>
        <w:t xml:space="preserve">loinc_archetype_map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openehr_compositions</w:t>
      </w:r>
      <w:r>
        <w:t xml:space="preserve"> </w:t>
      </w:r>
      <w:r>
        <w:t xml:space="preserve">table</w:t>
      </w:r>
      <w:r>
        <w:t xml:space="preserve"> </w:t>
      </w:r>
      <w:r>
        <w:t xml:space="preserve">(all 7,065 rows mislabelled, disposable) — is removed. Not before: while broken,</w:t>
      </w:r>
      <w:r>
        <w:t xml:space="preserve"> </w:t>
      </w:r>
      <w:r>
        <w:t xml:space="preserve">it is still</w:t>
      </w:r>
      <w:r>
        <w:t xml:space="preserve"> </w:t>
      </w:r>
      <w:r>
        <w:rPr>
          <w:rStyle w:val="VerbatimChar"/>
        </w:rPr>
        <w:t xml:space="preserve">cdr</w:t>
      </w:r>
      <w:r>
        <w:t xml:space="preserve">’s only openEHR path.</w:t>
      </w:r>
    </w:p>
    <w:p>
      <w:pPr>
        <w:pStyle w:val="BodyText"/>
      </w:pPr>
      <w:r>
        <w:rPr>
          <w:b/>
          <w:bCs/>
        </w:rPr>
        <w:t xml:space="preserve">The critical path runs through step 4.</w:t>
      </w:r>
      <w:r>
        <w:t xml:space="preserve"> </w:t>
      </w:r>
      <w:r>
        <w:t xml:space="preserve">It is the only step that is not</w:t>
      </w:r>
      <w:r>
        <w:t xml:space="preserve"> </w:t>
      </w:r>
      <w:r>
        <w:t xml:space="preserve">primarily a software task, and it is the one most likely to be underestimated.</w:t>
      </w:r>
      <w:r>
        <w:t xml:space="preserve"> </w:t>
      </w:r>
      <w:r>
        <w:t xml:space="preserve">Budget real clinical-modelling time for it, and expect to iterate with whoever</w:t>
      </w:r>
      <w:r>
        <w:t xml:space="preserve"> </w:t>
      </w:r>
      <w:r>
        <w:t xml:space="preserve">owns the receiving system.</w:t>
      </w:r>
    </w:p>
    <w:bookmarkStart w:id="33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Reference Model — openEHR’s fixed structural building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Archetype</w:t>
            </w:r>
          </w:p>
        </w:tc>
        <w:tc>
          <w:tcPr/>
          <w:p>
            <w:pPr>
              <w:pStyle w:val="Compact"/>
            </w:pPr>
            <w:r>
              <w:t xml:space="preserve">Reusable maximal definition of one clinical concept (ADL)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CKM</w:t>
            </w:r>
          </w:p>
        </w:tc>
        <w:tc>
          <w:tcPr/>
          <w:p>
            <w:pPr>
              <w:pStyle w:val="Compact"/>
            </w:pPr>
            <w:r>
              <w:t xml:space="preserve">Clinical Knowledge Manager — the international archetype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/ OPT</w:t>
            </w:r>
          </w:p>
        </w:tc>
        <w:tc>
          <w:tcPr/>
          <w:p>
            <w:pPr>
              <w:pStyle w:val="Compact"/>
            </w:pPr>
            <w:r>
              <w:t xml:space="preserve">Use-case-specific constraint over archetypes;</w:t>
            </w:r>
            <w:r>
              <w:t xml:space="preserve"> </w:t>
            </w:r>
            <w:r>
              <w:rPr>
                <w:rStyle w:val="VerbatimChar"/>
              </w:rPr>
              <w:t xml:space="preserve">.opt</w:t>
            </w:r>
            <w:r>
              <w:t xml:space="preserve"> </w:t>
            </w:r>
            <w:r>
              <w:t xml:space="preserve">is the runtime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One clinical document committed to an EHR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EHR</w:t>
            </w:r>
          </w:p>
        </w:tc>
        <w:tc>
          <w:tcPr/>
          <w:p>
            <w:pPr>
              <w:pStyle w:val="Compact"/>
            </w:pPr>
            <w:r>
              <w:t xml:space="preserve">Per-patient container, identified by 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AQL</w:t>
            </w:r>
          </w:p>
        </w:tc>
        <w:tc>
          <w:tcPr/>
          <w:p>
            <w:pPr>
              <w:pStyle w:val="Compact"/>
            </w:pPr>
            <w:r>
              <w:t xml:space="preserve">Archetype Query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 / simSDT</w:t>
            </w:r>
          </w:p>
        </w:tc>
        <w:tc>
          <w:tcPr/>
          <w:p>
            <w:pPr>
              <w:pStyle w:val="Compact"/>
            </w:pPr>
            <w:r>
              <w:t xml:space="preserve">Path-based flat JSON serialisation of a 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UCUM</w:t>
            </w:r>
          </w:p>
        </w:tc>
        <w:tc>
          <w:tcPr/>
          <w:p>
            <w:pPr>
              <w:pStyle w:val="Compact"/>
            </w:pPr>
            <w:r>
              <w:t xml:space="preserve">Unified Code for Units of Measure — the expected unit 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DV_*</w:t>
            </w:r>
          </w:p>
        </w:tc>
        <w:tc>
          <w:tcPr/>
          <w:p>
            <w:pPr>
              <w:pStyle w:val="Compact"/>
            </w:pPr>
            <w:r>
              <w:t xml:space="preserve">RM data types (</w:t>
            </w:r>
            <w:r>
              <w:rPr>
                <w:rStyle w:val="VerbatimChar"/>
              </w:rPr>
              <w:t xml:space="preserve">DV_QUANTITY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DV_CODED_TEXT</w:t>
            </w:r>
            <w:r>
              <w:t xml:space="preserve">, …)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2026-07-21. Findings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cdr.pdhc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gateway.pdhc</w:t>
      </w:r>
      <w:r>
        <w:rPr>
          <w:i/>
          <w:iCs/>
        </w:rPr>
        <w:t xml:space="preserve"> </w:t>
      </w:r>
      <w:r>
        <w:rPr>
          <w:i/>
          <w:iCs/>
        </w:rPr>
        <w:t xml:space="preserve">source and the CDR1 production database. Tracked by tickets listed in the</w:t>
      </w:r>
      <w:r>
        <w:rPr>
          <w:i/>
          <w:iCs/>
        </w:rPr>
        <w:t xml:space="preserve"> </w:t>
      </w:r>
      <w:r>
        <w:rPr>
          <w:i/>
          <w:iCs/>
        </w:rPr>
        <w:t xml:space="preserve">covering note.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Exporting PDHC data to a general openEHR CDR</dc:title>
  <dc:creator>PDHC platform — cdr.pdhc</dc:creator>
  <cp:keywords/>
  <dcterms:created xsi:type="dcterms:W3CDTF">2026-07-23T08:05:23Z</dcterms:created>
  <dcterms:modified xsi:type="dcterms:W3CDTF">2026-07-23T08:05:23Z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2026-07-21</vt:lpwstr>
  </property>
  <property fmtid="{D5CDD505-2E9C-101B-9397-08002B2CF9AE}" pid="3" name="subtitle">
    <vt:lpwstr>Assessment, strategy, and execution guide</vt:lpwstr>
  </property>
</Properties>
</file>