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2C4A"/>
          <w:sz w:val="64"/>
        </w:rPr>
        <w:t>Common Clinical Data Repository</w:t>
      </w:r>
    </w:p>
    <w:p>
      <w:pPr>
        <w:spacing w:after="80"/>
      </w:pPr>
      <w:r>
        <w:rPr>
          <w:b/>
          <w:color w:val="2E86DE"/>
          <w:sz w:val="36"/>
        </w:rPr>
        <w:t>Specification</w:t>
      </w:r>
    </w:p>
    <w:p>
      <w:pPr>
        <w:spacing w:after="400"/>
      </w:pPr>
      <w:r>
        <w:rPr>
          <w:i/>
          <w:color w:val="6B7380"/>
          <w:sz w:val="26"/>
        </w:rPr>
        <w:t>Dual-persistence CDR exposing native openEHR and FHIR R5 APIs</w:t>
      </w:r>
    </w:p>
    <w:p>
      <w:pPr>
        <w:spacing w:after="40"/>
      </w:pPr>
      <w:r>
        <w:rPr>
          <w:b/>
        </w:rPr>
        <w:t xml:space="preserve">Version: </w:t>
      </w:r>
      <w:r>
        <w:t>0.1 (draft)</w:t>
      </w:r>
    </w:p>
    <w:p>
      <w:pPr>
        <w:spacing w:after="40"/>
      </w:pPr>
      <w:r>
        <w:rPr>
          <w:b/>
        </w:rPr>
        <w:t xml:space="preserve">Date: </w:t>
      </w:r>
      <w:r>
        <w:t>2026-04-24</w:t>
      </w:r>
    </w:p>
    <w:p>
      <w:pPr>
        <w:spacing w:after="40"/>
      </w:pPr>
      <w:r>
        <w:rPr>
          <w:b/>
        </w:rPr>
        <w:t xml:space="preserve">Status: </w:t>
      </w:r>
      <w:r>
        <w:t>Semi-detailed design draft — security intentionally out of scope</w:t>
      </w:r>
    </w:p>
    <w:p>
      <w:pPr>
        <w:pBdr>
          <w:bottom w:val="single" w:sz="6" w:color="D0D7DE"/>
        </w:pBdr>
      </w:pPr>
    </w:p>
    <w:p>
      <w:pPr>
        <w:pStyle w:val="Heading1"/>
      </w:pPr>
      <w:r>
        <w:t>1. Scope &amp; goals</w:t>
      </w:r>
    </w:p>
    <w:p>
      <w:pPr>
        <w:pStyle w:val="ListBullet"/>
        <w:spacing w:after="40"/>
      </w:pPr>
      <w:r>
        <w:t>A single backend storing longitudinal patient data, with both openEHR and FHIR R5 APIs exposed at full native fidelity for their respective consumers.</w:t>
      </w:r>
    </w:p>
    <w:p>
      <w:pPr>
        <w:pStyle w:val="ListBullet"/>
        <w:spacing w:after="40"/>
      </w:pPr>
      <w:r>
        <w:t>Write-once, read-many: clinical data written via either API is retrievable via either API with no semantic loss for declared bidirectional resources.</w:t>
      </w:r>
    </w:p>
    <w:p>
      <w:pPr>
        <w:pStyle w:val="ListBullet"/>
        <w:spacing w:after="40"/>
      </w:pPr>
      <w:r>
        <w:t>Support clinical documentation (openEHR strength) and integration / interoperability (FHIR strength) without forcing a choice between them.</w:t>
      </w:r>
    </w:p>
    <w:p>
      <w:pPr>
        <w:pStyle w:val="ListBullet"/>
        <w:spacing w:after="40"/>
      </w:pPr>
      <w:r>
        <w:t>Multi-tenant capable; horizontally scalable read path.</w:t>
      </w:r>
    </w:p>
    <w:p>
      <w:pPr>
        <w:pStyle w:val="ListBullet"/>
        <w:spacing w:after="40"/>
      </w:pPr>
      <w:r>
        <w:t>Explicitly out of scope for this specification: security / authorisation, consent enforcement, deployment topology, UI, billing and claims. See §15.</w:t>
      </w:r>
    </w:p>
    <w:p>
      <w:pPr>
        <w:pStyle w:val="Heading1"/>
      </w:pPr>
      <w:r>
        <w:t>2. Key architectural decisions</w:t>
      </w:r>
    </w:p>
    <w:p>
      <w:pPr>
        <w:pStyle w:val="Heading3"/>
      </w:pPr>
      <w:r>
        <w:t>D1 — Dual persistence</w:t>
      </w:r>
    </w:p>
    <w:p>
      <w:r>
        <w:t>Every clinical write commits to both the openEHR store and the FHIR store inside the same database transaction. The mapping layer (§7) runs synchronously at write time to produce the mirror representation. Each record is tagged with:</w:t>
      </w:r>
    </w:p>
    <w:p>
      <w:pPr>
        <w:pStyle w:val="ListBullet"/>
        <w:spacing w:after="40"/>
      </w:pPr>
      <w:r>
        <w:t>the originating API (openEHR or FHIR) — authoritative for provenance,</w:t>
      </w:r>
    </w:p>
    <w:p>
      <w:pPr>
        <w:pStyle w:val="ListBullet"/>
        <w:spacing w:after="40"/>
      </w:pPr>
      <w:r>
        <w:t>a sync_group_id — links the COMPOSITION and its derived FHIR resources,</w:t>
      </w:r>
    </w:p>
    <w:p>
      <w:pPr>
        <w:pStyle w:val="ListBullet"/>
        <w:spacing w:after="40"/>
      </w:pPr>
      <w:r>
        <w:t>a mapping_version — the version of the mapping definition used to produce the mirror.</w:t>
      </w:r>
    </w:p>
    <w:p>
      <w:r>
        <w:t>Reads never invoke the mapping layer: each API reads directly from its native store. This trades storage for predictable, low-latency reads on both faces.</w:t>
      </w:r>
    </w:p>
    <w:p>
      <w:pPr>
        <w:pStyle w:val="Heading3"/>
      </w:pPr>
      <w:r>
        <w:t>D2 — Demographics live outside openEHR</w:t>
      </w:r>
    </w:p>
    <w:p>
      <w:r>
        <w:t>Patient, Practitioner and Organization are stored in a dedicated demographics service modelled closely on the FHIR R5 shapes, and referenced from both openEHR compositions and FHIR clinical resources. This matches openEHR best practice and avoids duplicating demographic state across every composition.</w:t>
      </w:r>
    </w:p>
    <w:p>
      <w:pPr>
        <w:pStyle w:val="Heading3"/>
      </w:pPr>
      <w:r>
        <w:t>D3 — Terminology is externalised</w:t>
      </w:r>
    </w:p>
    <w:p>
      <w:r>
        <w:t>The CDR stores codes + system URIs + display strings but does not expand value sets itself. Validation, expansion, translation and subsumption are delegated to a FHIR terminology service (§8).</w:t>
      </w:r>
    </w:p>
    <w:p>
      <w:pPr>
        <w:pStyle w:val="Heading3"/>
      </w:pPr>
      <w:r>
        <w:t>D4 — Resource coverage is tiered</w:t>
      </w:r>
    </w:p>
    <w:p>
      <w:r>
        <w:t>Every clinical concept is declared as one of:</w:t>
      </w:r>
    </w:p>
    <w:p>
      <w:pPr>
        <w:pStyle w:val="ListBullet"/>
        <w:spacing w:after="40"/>
      </w:pPr>
      <w:r>
        <w:rPr>
          <w:b/>
        </w:rPr>
        <w:t xml:space="preserve">Bidirectional — </w:t>
      </w:r>
      <w:r>
        <w:t>stored in both openEHR and FHIR stores; mapping definition required.</w:t>
      </w:r>
    </w:p>
    <w:p>
      <w:pPr>
        <w:pStyle w:val="ListBullet"/>
        <w:spacing w:after="40"/>
      </w:pPr>
      <w:r>
        <w:rPr>
          <w:b/>
        </w:rPr>
        <w:t xml:space="preserve">openEHR-only — </w:t>
      </w:r>
      <w:r>
        <w:t>stored only as openEHR compositions (rarely needed; mostly internal detail).</w:t>
      </w:r>
    </w:p>
    <w:p>
      <w:pPr>
        <w:pStyle w:val="ListBullet"/>
        <w:spacing w:after="40"/>
      </w:pPr>
      <w:r>
        <w:rPr>
          <w:b/>
        </w:rPr>
        <w:t xml:space="preserve">FHIR-only — </w:t>
      </w:r>
      <w:r>
        <w:t>stored only as FHIR resources, for resources with no meaningful openEHR equivalent (e.g. DocumentReference, Appointment, Task, Consent, Binary).</w:t>
      </w:r>
    </w:p>
    <w:p>
      <w:pPr>
        <w:pStyle w:val="Heading3"/>
      </w:pPr>
      <w:r>
        <w:t>Variant not chosen</w:t>
      </w:r>
    </w:p>
    <w:p>
      <w:r>
        <w:t>Canonical openEHR with runtime FHIR projection — simpler storage but every FHIR read invokes the mapping engine, which hurts tail latency on integration-heavy workloads. Rejected in favour of D1.</w:t>
      </w:r>
    </w:p>
    <w:p>
      <w:pPr>
        <w:pStyle w:val="Heading1"/>
      </w:pPr>
      <w:r>
        <w:t>3. Logical architecture</w:t>
      </w:r>
    </w:p>
    <w:p>
      <w:pPr>
        <w:spacing w:before="80" w:after="120"/>
        <w:shd w:val="clear" w:color="auto" w:fill="F4F7FB"/>
        <w:ind w:left="170"/>
      </w:pPr>
      <w:r>
        <w:rPr>
          <w:rFonts w:ascii="Consolas" w:hAnsi="Consolas"/>
          <w:sz w:val="18"/>
        </w:rPr>
        <w:t xml:space="preserve"> ┌──────────────┐                          ┌──────────────┐</w:t>
        <w:br/>
        <w:t xml:space="preserve"> │ openEHR API  │                          │  FHIR R5 API │</w:t>
        <w:br/>
        <w:t xml:space="preserve"> │  /openehr/v1 │                          │   /fhir/r5   │</w:t>
        <w:br/>
        <w:t xml:space="preserve"> └───────┬──────┘                          └──────┬───────┘</w:t>
        <w:br/>
        <w:t xml:space="preserve">         │                                        │</w:t>
        <w:br/>
        <w:t xml:space="preserve">         │         ┌──────────────────────┐       │</w:t>
        <w:br/>
        <w:t xml:space="preserve">         └────────▶│ Mapping layer        │◀──────┘</w:t>
        <w:br/>
        <w:t xml:space="preserve">                   │  (write-time sync)   │</w:t>
        <w:br/>
        <w:t xml:space="preserve">                   └──────┬───────────────┘</w:t>
        <w:br/>
        <w:t xml:space="preserve">                          │</w:t>
        <w:br/>
        <w:t xml:space="preserve">              ┌───────────┴────────────┐</w:t>
        <w:br/>
        <w:t xml:space="preserve">              ▼                        ▼</w:t>
        <w:br/>
        <w:t xml:space="preserve">   ┌────────────────────┐    ┌────────────────────┐</w:t>
        <w:br/>
        <w:t xml:space="preserve">   │  openEHR store     │    │    FHIR store      │</w:t>
        <w:br/>
        <w:t xml:space="preserve">   │  EHR · Composition │    │   Resources +      │</w:t>
        <w:br/>
        <w:t xml:space="preserve">   │  Contribution · … │    │   _history         │</w:t>
        <w:br/>
        <w:t xml:space="preserve">   └─────────┬──────────┘    └─────────┬──────────┘</w:t>
        <w:br/>
        <w:t xml:space="preserve">             │                         │</w:t>
        <w:br/>
        <w:t xml:space="preserve">             └────────┬────────────────┘</w:t>
        <w:br/>
        <w:t xml:space="preserve">                      ▼</w:t>
        <w:br/>
        <w:t xml:space="preserve">             ┌─────────────────┐</w:t>
        <w:br/>
        <w:t xml:space="preserve">             │  Change feed    │──▶ Subscriptions, bulk export,</w:t>
        <w:br/>
        <w:t xml:space="preserve">             │  (append-only)  │    analytics replicas</w:t>
        <w:br/>
        <w:t xml:space="preserve">             └─────────────────┘</w:t>
        <w:br/>
        <w:br/>
        <w:t xml:space="preserve">   ┌──────────────────┐   ┌───────────────────┐   ┌──────────────┐</w:t>
        <w:br/>
        <w:t xml:space="preserve">   │  Demographics /  │   │  Terminology      │   │  Metadata    │</w:t>
        <w:br/>
        <w:t xml:space="preserve">   │  MPI service     │   │  service (ext.)   │   │  (templates, │</w:t>
        <w:br/>
        <w:t xml:space="preserve">   │                  │   │                   │   │   profiles)  │</w:t>
        <w:br/>
        <w:t xml:space="preserve">   └──────────────────┘   └───────────────────┘   └──────────────┘</w:t>
      </w:r>
    </w:p>
    <w:p>
      <w:pPr>
        <w:pStyle w:val="Heading1"/>
      </w:pPr>
      <w:r>
        <w:t>4. Database content</w:t>
      </w:r>
    </w:p>
    <w:p>
      <w:pPr>
        <w:pStyle w:val="Heading2"/>
      </w:pPr>
      <w:r>
        <w:t>4.1 openEHR clinical store</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3249"/>
        <w:gridCol w:w="3249"/>
        <w:gridCol w:w="3249"/>
      </w:tblGrid>
      <w:tr>
        <w:tc>
          <w:tcPr>
            <w:tcW w:type="dxa" w:w="1984"/>
            <w:shd w:val="clear" w:color="auto" w:fill="0F2C4A"/>
            <w:vAlign w:val="center"/>
          </w:tcPr>
          <w:p>
            <w:r/>
            <w:r>
              <w:rPr>
                <w:b/>
                <w:color w:val="FFFFFF"/>
                <w:sz w:val="20"/>
              </w:rPr>
              <w:t>Entity</w:t>
            </w:r>
          </w:p>
        </w:tc>
        <w:tc>
          <w:tcPr>
            <w:tcW w:type="dxa" w:w="2835"/>
            <w:shd w:val="clear" w:color="auto" w:fill="0F2C4A"/>
            <w:vAlign w:val="center"/>
          </w:tcPr>
          <w:p>
            <w:r/>
            <w:r>
              <w:rPr>
                <w:b/>
                <w:color w:val="FFFFFF"/>
                <w:sz w:val="20"/>
              </w:rPr>
              <w:t>Purpose</w:t>
            </w:r>
          </w:p>
        </w:tc>
        <w:tc>
          <w:tcPr>
            <w:tcW w:type="dxa" w:w="4819"/>
            <w:shd w:val="clear" w:color="auto" w:fill="0F2C4A"/>
            <w:vAlign w:val="center"/>
          </w:tcPr>
          <w:p>
            <w:r/>
            <w:r>
              <w:rPr>
                <w:b/>
                <w:color w:val="FFFFFF"/>
                <w:sz w:val="20"/>
              </w:rPr>
              <w:t>Key fields</w:t>
            </w:r>
          </w:p>
        </w:tc>
      </w:tr>
      <w:tr>
        <w:tc>
          <w:tcPr>
            <w:tcW w:type="dxa" w:w="1984"/>
            <w:shd w:val="clear" w:color="auto" w:fill="F4F7FB"/>
            <w:vAlign w:val="top"/>
          </w:tcPr>
          <w:p>
            <w:r/>
            <w:r>
              <w:rPr>
                <w:b/>
                <w:color w:val="0F2C4A"/>
                <w:sz w:val="20"/>
              </w:rPr>
              <w:t>ehr</w:t>
            </w:r>
          </w:p>
        </w:tc>
        <w:tc>
          <w:tcPr>
            <w:tcW w:type="dxa" w:w="2835"/>
            <w:shd w:val="clear" w:color="auto" w:fill="F4F7FB"/>
            <w:vAlign w:val="top"/>
          </w:tcPr>
          <w:p>
            <w:r/>
            <w:r>
              <w:rPr>
                <w:sz w:val="20"/>
              </w:rPr>
              <w:t>One per patient</w:t>
            </w:r>
          </w:p>
        </w:tc>
        <w:tc>
          <w:tcPr>
            <w:tcW w:type="dxa" w:w="4819"/>
            <w:shd w:val="clear" w:color="auto" w:fill="F4F7FB"/>
            <w:vAlign w:val="top"/>
          </w:tcPr>
          <w:p>
            <w:r/>
            <w:r>
              <w:rPr>
                <w:sz w:val="20"/>
              </w:rPr>
              <w:t>ehr_id (UUID), subject_ref → MPI, system_id, time_created</w:t>
            </w:r>
          </w:p>
        </w:tc>
      </w:tr>
      <w:tr>
        <w:tc>
          <w:tcPr>
            <w:tcW w:type="dxa" w:w="1984"/>
            <w:vAlign w:val="top"/>
          </w:tcPr>
          <w:p>
            <w:r/>
            <w:r>
              <w:rPr>
                <w:b/>
                <w:color w:val="0F2C4A"/>
                <w:sz w:val="20"/>
              </w:rPr>
              <w:t>contribution</w:t>
            </w:r>
          </w:p>
        </w:tc>
        <w:tc>
          <w:tcPr>
            <w:tcW w:type="dxa" w:w="2835"/>
            <w:vAlign w:val="top"/>
          </w:tcPr>
          <w:p>
            <w:r/>
            <w:r>
              <w:rPr>
                <w:sz w:val="20"/>
              </w:rPr>
              <w:t>Audit-bounded atomic commit</w:t>
            </w:r>
          </w:p>
        </w:tc>
        <w:tc>
          <w:tcPr>
            <w:tcW w:type="dxa" w:w="4819"/>
            <w:vAlign w:val="top"/>
          </w:tcPr>
          <w:p>
            <w:r/>
            <w:r>
              <w:rPr>
                <w:sz w:val="20"/>
              </w:rPr>
              <w:t>contribution_id, ehr_id, audit (committer, time, reason)</w:t>
            </w:r>
          </w:p>
        </w:tc>
      </w:tr>
      <w:tr>
        <w:tc>
          <w:tcPr>
            <w:tcW w:type="dxa" w:w="1984"/>
            <w:shd w:val="clear" w:color="auto" w:fill="F4F7FB"/>
            <w:vAlign w:val="top"/>
          </w:tcPr>
          <w:p>
            <w:r/>
            <w:r>
              <w:rPr>
                <w:b/>
                <w:color w:val="0F2C4A"/>
                <w:sz w:val="20"/>
              </w:rPr>
              <w:t>composition</w:t>
            </w:r>
          </w:p>
        </w:tc>
        <w:tc>
          <w:tcPr>
            <w:tcW w:type="dxa" w:w="2835"/>
            <w:shd w:val="clear" w:color="auto" w:fill="F4F7FB"/>
            <w:vAlign w:val="top"/>
          </w:tcPr>
          <w:p>
            <w:r/>
            <w:r>
              <w:rPr>
                <w:sz w:val="20"/>
              </w:rPr>
              <w:t>Clinical document (current version)</w:t>
            </w:r>
          </w:p>
        </w:tc>
        <w:tc>
          <w:tcPr>
            <w:tcW w:type="dxa" w:w="4819"/>
            <w:shd w:val="clear" w:color="auto" w:fill="F4F7FB"/>
            <w:vAlign w:val="top"/>
          </w:tcPr>
          <w:p>
            <w:r/>
            <w:r>
              <w:rPr>
                <w:sz w:val="20"/>
              </w:rPr>
              <w:t>composition_uid (versioned), ehr_id, template_id, archetype_details, category, composer, content (JSONB)</w:t>
            </w:r>
          </w:p>
        </w:tc>
      </w:tr>
      <w:tr>
        <w:tc>
          <w:tcPr>
            <w:tcW w:type="dxa" w:w="1984"/>
            <w:vAlign w:val="top"/>
          </w:tcPr>
          <w:p>
            <w:r/>
            <w:r>
              <w:rPr>
                <w:b/>
                <w:color w:val="0F2C4A"/>
                <w:sz w:val="20"/>
              </w:rPr>
              <w:t>composition_version</w:t>
            </w:r>
          </w:p>
        </w:tc>
        <w:tc>
          <w:tcPr>
            <w:tcW w:type="dxa" w:w="2835"/>
            <w:vAlign w:val="top"/>
          </w:tcPr>
          <w:p>
            <w:r/>
            <w:r>
              <w:rPr>
                <w:sz w:val="20"/>
              </w:rPr>
              <w:t>Prior versions</w:t>
            </w:r>
          </w:p>
        </w:tc>
        <w:tc>
          <w:tcPr>
            <w:tcW w:type="dxa" w:w="4819"/>
            <w:vAlign w:val="top"/>
          </w:tcPr>
          <w:p>
            <w:r/>
            <w:r>
              <w:rPr>
                <w:sz w:val="20"/>
              </w:rPr>
              <w:t>preceding_version_uid, lifecycle_state, content (JSONB)</w:t>
            </w:r>
          </w:p>
        </w:tc>
      </w:tr>
      <w:tr>
        <w:tc>
          <w:tcPr>
            <w:tcW w:type="dxa" w:w="1984"/>
            <w:shd w:val="clear" w:color="auto" w:fill="F4F7FB"/>
            <w:vAlign w:val="top"/>
          </w:tcPr>
          <w:p>
            <w:r/>
            <w:r>
              <w:rPr>
                <w:b/>
                <w:color w:val="0F2C4A"/>
                <w:sz w:val="20"/>
              </w:rPr>
              <w:t>folder</w:t>
            </w:r>
          </w:p>
        </w:tc>
        <w:tc>
          <w:tcPr>
            <w:tcW w:type="dxa" w:w="2835"/>
            <w:shd w:val="clear" w:color="auto" w:fill="F4F7FB"/>
            <w:vAlign w:val="top"/>
          </w:tcPr>
          <w:p>
            <w:r/>
            <w:r>
              <w:rPr>
                <w:sz w:val="20"/>
              </w:rPr>
              <w:t>Organisation of compositions</w:t>
            </w:r>
          </w:p>
        </w:tc>
        <w:tc>
          <w:tcPr>
            <w:tcW w:type="dxa" w:w="4819"/>
            <w:shd w:val="clear" w:color="auto" w:fill="F4F7FB"/>
            <w:vAlign w:val="top"/>
          </w:tcPr>
          <w:p>
            <w:r/>
            <w:r>
              <w:rPr>
                <w:sz w:val="20"/>
              </w:rPr>
              <w:t>folder_uid, ehr_id, items[]</w:t>
            </w:r>
          </w:p>
        </w:tc>
      </w:tr>
      <w:tr>
        <w:tc>
          <w:tcPr>
            <w:tcW w:type="dxa" w:w="1984"/>
            <w:vAlign w:val="top"/>
          </w:tcPr>
          <w:p>
            <w:r/>
            <w:r>
              <w:rPr>
                <w:b/>
                <w:color w:val="0F2C4A"/>
                <w:sz w:val="20"/>
              </w:rPr>
              <w:t>ehr_status</w:t>
            </w:r>
          </w:p>
        </w:tc>
        <w:tc>
          <w:tcPr>
            <w:tcW w:type="dxa" w:w="2835"/>
            <w:vAlign w:val="top"/>
          </w:tcPr>
          <w:p>
            <w:r/>
            <w:r>
              <w:rPr>
                <w:sz w:val="20"/>
              </w:rPr>
              <w:t>Per-EHR flags</w:t>
            </w:r>
          </w:p>
        </w:tc>
        <w:tc>
          <w:tcPr>
            <w:tcW w:type="dxa" w:w="4819"/>
            <w:vAlign w:val="top"/>
          </w:tcPr>
          <w:p>
            <w:r/>
            <w:r>
              <w:rPr>
                <w:sz w:val="20"/>
              </w:rPr>
              <w:t>is_queryable, is_modifiable, other_details</w:t>
            </w:r>
          </w:p>
        </w:tc>
      </w:tr>
    </w:tbl>
    <w:p>
      <w:r>
        <w:rPr>
          <w:i/>
          <w:color w:val="6B7380"/>
          <w:sz w:val="20"/>
        </w:rPr>
        <w:t>Composition content is stored as JSONB using the openEHR canonical JSON form. GIN indexes on archetype paths power AQL. Every update creates a new composition_version row; composition_uid follows &lt;objectVersionId&gt;::&lt;system&gt;::&lt;version&gt;.</w:t>
      </w:r>
    </w:p>
    <w:p>
      <w:pPr>
        <w:pStyle w:val="Heading2"/>
      </w:pPr>
      <w:r>
        <w:t>4.2 FHIR clinical store</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3249"/>
        <w:gridCol w:w="3249"/>
        <w:gridCol w:w="3249"/>
      </w:tblGrid>
      <w:tr>
        <w:tc>
          <w:tcPr>
            <w:tcW w:type="dxa" w:w="2268"/>
            <w:shd w:val="clear" w:color="auto" w:fill="0F2C4A"/>
            <w:vAlign w:val="center"/>
          </w:tcPr>
          <w:p>
            <w:r/>
            <w:r>
              <w:rPr>
                <w:b/>
                <w:color w:val="FFFFFF"/>
                <w:sz w:val="20"/>
              </w:rPr>
              <w:t>Entity</w:t>
            </w:r>
          </w:p>
        </w:tc>
        <w:tc>
          <w:tcPr>
            <w:tcW w:type="dxa" w:w="2551"/>
            <w:shd w:val="clear" w:color="auto" w:fill="0F2C4A"/>
            <w:vAlign w:val="center"/>
          </w:tcPr>
          <w:p>
            <w:r/>
            <w:r>
              <w:rPr>
                <w:b/>
                <w:color w:val="FFFFFF"/>
                <w:sz w:val="20"/>
              </w:rPr>
              <w:t>Purpose</w:t>
            </w:r>
          </w:p>
        </w:tc>
        <w:tc>
          <w:tcPr>
            <w:tcW w:type="dxa" w:w="4819"/>
            <w:shd w:val="clear" w:color="auto" w:fill="0F2C4A"/>
            <w:vAlign w:val="center"/>
          </w:tcPr>
          <w:p>
            <w:r/>
            <w:r>
              <w:rPr>
                <w:b/>
                <w:color w:val="FFFFFF"/>
                <w:sz w:val="20"/>
              </w:rPr>
              <w:t>Key fields</w:t>
            </w:r>
          </w:p>
        </w:tc>
      </w:tr>
      <w:tr>
        <w:tc>
          <w:tcPr>
            <w:tcW w:type="dxa" w:w="2268"/>
            <w:shd w:val="clear" w:color="auto" w:fill="F4F7FB"/>
            <w:vAlign w:val="top"/>
          </w:tcPr>
          <w:p>
            <w:r/>
            <w:r>
              <w:rPr>
                <w:b/>
                <w:color w:val="0F2C4A"/>
                <w:sz w:val="20"/>
              </w:rPr>
              <w:t>fhir_resource</w:t>
            </w:r>
          </w:p>
        </w:tc>
        <w:tc>
          <w:tcPr>
            <w:tcW w:type="dxa" w:w="2551"/>
            <w:shd w:val="clear" w:color="auto" w:fill="F4F7FB"/>
            <w:vAlign w:val="top"/>
          </w:tcPr>
          <w:p>
            <w:r/>
            <w:r>
              <w:rPr>
                <w:sz w:val="20"/>
              </w:rPr>
              <w:t>Current version of a resource</w:t>
            </w:r>
          </w:p>
        </w:tc>
        <w:tc>
          <w:tcPr>
            <w:tcW w:type="dxa" w:w="4819"/>
            <w:shd w:val="clear" w:color="auto" w:fill="F4F7FB"/>
            <w:vAlign w:val="top"/>
          </w:tcPr>
          <w:p>
            <w:r/>
            <w:r>
              <w:rPr>
                <w:sz w:val="20"/>
              </w:rPr>
              <w:t>resource_type, resource_id, version_id, last_updated, subject_ref, resource (JSONB), sync_group_id</w:t>
            </w:r>
          </w:p>
        </w:tc>
      </w:tr>
      <w:tr>
        <w:tc>
          <w:tcPr>
            <w:tcW w:type="dxa" w:w="2268"/>
            <w:vAlign w:val="top"/>
          </w:tcPr>
          <w:p>
            <w:r/>
            <w:r>
              <w:rPr>
                <w:b/>
                <w:color w:val="0F2C4A"/>
                <w:sz w:val="20"/>
              </w:rPr>
              <w:t>fhir_resource_history</w:t>
            </w:r>
          </w:p>
        </w:tc>
        <w:tc>
          <w:tcPr>
            <w:tcW w:type="dxa" w:w="2551"/>
            <w:vAlign w:val="top"/>
          </w:tcPr>
          <w:p>
            <w:r/>
            <w:r>
              <w:rPr>
                <w:sz w:val="20"/>
              </w:rPr>
              <w:t>Prior versions</w:t>
            </w:r>
          </w:p>
        </w:tc>
        <w:tc>
          <w:tcPr>
            <w:tcW w:type="dxa" w:w="4819"/>
            <w:vAlign w:val="top"/>
          </w:tcPr>
          <w:p>
            <w:r/>
            <w:r>
              <w:rPr>
                <w:sz w:val="20"/>
              </w:rPr>
              <w:t>resource_type, resource_id, version_id, superseded_at, resource (JSONB)</w:t>
            </w:r>
          </w:p>
        </w:tc>
      </w:tr>
      <w:tr>
        <w:tc>
          <w:tcPr>
            <w:tcW w:type="dxa" w:w="2268"/>
            <w:shd w:val="clear" w:color="auto" w:fill="F4F7FB"/>
            <w:vAlign w:val="top"/>
          </w:tcPr>
          <w:p>
            <w:r/>
            <w:r>
              <w:rPr>
                <w:b/>
                <w:color w:val="0F2C4A"/>
                <w:sz w:val="20"/>
              </w:rPr>
              <w:t>fhir_reference_index</w:t>
            </w:r>
          </w:p>
        </w:tc>
        <w:tc>
          <w:tcPr>
            <w:tcW w:type="dxa" w:w="2551"/>
            <w:shd w:val="clear" w:color="auto" w:fill="F4F7FB"/>
            <w:vAlign w:val="top"/>
          </w:tcPr>
          <w:p>
            <w:r/>
            <w:r>
              <w:rPr>
                <w:sz w:val="20"/>
              </w:rPr>
              <w:t>Resolved references for search</w:t>
            </w:r>
          </w:p>
        </w:tc>
        <w:tc>
          <w:tcPr>
            <w:tcW w:type="dxa" w:w="4819"/>
            <w:shd w:val="clear" w:color="auto" w:fill="F4F7FB"/>
            <w:vAlign w:val="top"/>
          </w:tcPr>
          <w:p>
            <w:r/>
            <w:r>
              <w:rPr>
                <w:sz w:val="20"/>
              </w:rPr>
              <w:t>source_id, source_type, path, target_type, target_id</w:t>
            </w:r>
          </w:p>
        </w:tc>
      </w:tr>
      <w:tr>
        <w:tc>
          <w:tcPr>
            <w:tcW w:type="dxa" w:w="2268"/>
            <w:vAlign w:val="top"/>
          </w:tcPr>
          <w:p>
            <w:r/>
            <w:r>
              <w:rPr>
                <w:b/>
                <w:color w:val="0F2C4A"/>
                <w:sz w:val="20"/>
              </w:rPr>
              <w:t>fhir_search_param</w:t>
            </w:r>
          </w:p>
        </w:tc>
        <w:tc>
          <w:tcPr>
            <w:tcW w:type="dxa" w:w="2551"/>
            <w:vAlign w:val="top"/>
          </w:tcPr>
          <w:p>
            <w:r/>
            <w:r>
              <w:rPr>
                <w:sz w:val="20"/>
              </w:rPr>
              <w:t>Denormalised index for search</w:t>
            </w:r>
          </w:p>
        </w:tc>
        <w:tc>
          <w:tcPr>
            <w:tcW w:type="dxa" w:w="4819"/>
            <w:vAlign w:val="top"/>
          </w:tcPr>
          <w:p>
            <w:r/>
            <w:r>
              <w:rPr>
                <w:sz w:val="20"/>
              </w:rPr>
              <w:t>resource_type, resource_id, param_name, value_string/quantity/date/token/reference</w:t>
            </w:r>
          </w:p>
        </w:tc>
      </w:tr>
    </w:tbl>
    <w:p>
      <w:r>
        <w:rPr>
          <w:i/>
          <w:color w:val="6B7380"/>
          <w:sz w:val="20"/>
        </w:rPr>
        <w:t>For bidirectional data, fhir_resource rows may be (re)generated from the mapping layer; the sync_group_id links them to their source composition. For FHIR-only data, fhir_resource is the sole system of record.</w:t>
      </w:r>
    </w:p>
    <w:p>
      <w:pPr>
        <w:pStyle w:val="Heading2"/>
      </w:pPr>
      <w:r>
        <w:t>4.3 Demographics / MPI</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4873"/>
        <w:gridCol w:w="4873"/>
      </w:tblGrid>
      <w:tr>
        <w:tc>
          <w:tcPr>
            <w:tcW w:type="dxa" w:w="1984"/>
            <w:shd w:val="clear" w:color="auto" w:fill="0F2C4A"/>
            <w:vAlign w:val="center"/>
          </w:tcPr>
          <w:p>
            <w:r/>
            <w:r>
              <w:rPr>
                <w:b/>
                <w:color w:val="FFFFFF"/>
                <w:sz w:val="20"/>
              </w:rPr>
              <w:t>Entity</w:t>
            </w:r>
          </w:p>
        </w:tc>
        <w:tc>
          <w:tcPr>
            <w:tcW w:type="dxa" w:w="7654"/>
            <w:shd w:val="clear" w:color="auto" w:fill="0F2C4A"/>
            <w:vAlign w:val="center"/>
          </w:tcPr>
          <w:p>
            <w:r/>
            <w:r>
              <w:rPr>
                <w:b/>
                <w:color w:val="FFFFFF"/>
                <w:sz w:val="20"/>
              </w:rPr>
              <w:t>Notes</w:t>
            </w:r>
          </w:p>
        </w:tc>
      </w:tr>
      <w:tr>
        <w:tc>
          <w:tcPr>
            <w:tcW w:type="dxa" w:w="1984"/>
            <w:shd w:val="clear" w:color="auto" w:fill="F4F7FB"/>
            <w:vAlign w:val="top"/>
          </w:tcPr>
          <w:p>
            <w:r/>
            <w:r>
              <w:rPr>
                <w:b/>
                <w:color w:val="0F2C4A"/>
                <w:sz w:val="20"/>
              </w:rPr>
              <w:t>patient</w:t>
            </w:r>
          </w:p>
        </w:tc>
        <w:tc>
          <w:tcPr>
            <w:tcW w:type="dxa" w:w="7654"/>
            <w:shd w:val="clear" w:color="auto" w:fill="F4F7FB"/>
            <w:vAlign w:val="top"/>
          </w:tcPr>
          <w:p>
            <w:r/>
            <w:r>
              <w:rPr>
                <w:sz w:val="20"/>
              </w:rPr>
              <w:t>FHIR Patient–shaped: identifiers[], name[], gender, birthDate, address[], telecom[], deceased, active</w:t>
            </w:r>
          </w:p>
        </w:tc>
      </w:tr>
      <w:tr>
        <w:tc>
          <w:tcPr>
            <w:tcW w:type="dxa" w:w="1984"/>
            <w:vAlign w:val="top"/>
          </w:tcPr>
          <w:p>
            <w:r/>
            <w:r>
              <w:rPr>
                <w:b/>
                <w:color w:val="0F2C4A"/>
                <w:sz w:val="20"/>
              </w:rPr>
              <w:t>practitioner</w:t>
            </w:r>
          </w:p>
        </w:tc>
        <w:tc>
          <w:tcPr>
            <w:tcW w:type="dxa" w:w="7654"/>
            <w:vAlign w:val="top"/>
          </w:tcPr>
          <w:p>
            <w:r/>
            <w:r>
              <w:rPr>
                <w:sz w:val="20"/>
              </w:rPr>
              <w:t>FHIR Practitioner–shaped</w:t>
            </w:r>
          </w:p>
        </w:tc>
      </w:tr>
      <w:tr>
        <w:tc>
          <w:tcPr>
            <w:tcW w:type="dxa" w:w="1984"/>
            <w:shd w:val="clear" w:color="auto" w:fill="F4F7FB"/>
            <w:vAlign w:val="top"/>
          </w:tcPr>
          <w:p>
            <w:r/>
            <w:r>
              <w:rPr>
                <w:b/>
                <w:color w:val="0F2C4A"/>
                <w:sz w:val="20"/>
              </w:rPr>
              <w:t>organization</w:t>
            </w:r>
          </w:p>
        </w:tc>
        <w:tc>
          <w:tcPr>
            <w:tcW w:type="dxa" w:w="7654"/>
            <w:shd w:val="clear" w:color="auto" w:fill="F4F7FB"/>
            <w:vAlign w:val="top"/>
          </w:tcPr>
          <w:p>
            <w:r/>
            <w:r>
              <w:rPr>
                <w:sz w:val="20"/>
              </w:rPr>
              <w:t>FHIR Organization–shaped</w:t>
            </w:r>
          </w:p>
        </w:tc>
      </w:tr>
      <w:tr>
        <w:tc>
          <w:tcPr>
            <w:tcW w:type="dxa" w:w="1984"/>
            <w:vAlign w:val="top"/>
          </w:tcPr>
          <w:p>
            <w:r/>
            <w:r>
              <w:rPr>
                <w:b/>
                <w:color w:val="0F2C4A"/>
                <w:sz w:val="20"/>
              </w:rPr>
              <w:t>patient_link</w:t>
            </w:r>
          </w:p>
        </w:tc>
        <w:tc>
          <w:tcPr>
            <w:tcW w:type="dxa" w:w="7654"/>
            <w:vAlign w:val="top"/>
          </w:tcPr>
          <w:p>
            <w:r/>
            <w:r>
              <w:rPr>
                <w:sz w:val="20"/>
              </w:rPr>
              <w:t>For MPI merges (replaced-by, refer, seealso)</w:t>
            </w:r>
          </w:p>
        </w:tc>
      </w:tr>
    </w:tbl>
    <w:p>
      <w:r>
        <w:rPr>
          <w:i/>
          <w:color w:val="6B7380"/>
          <w:sz w:val="20"/>
        </w:rPr>
        <w:t>The MPI holds a single stable internal UUID per person; external identifiers (national ID, MRN per facility) are facets and indexed for lookup and deduplication.</w:t>
      </w:r>
    </w:p>
    <w:p>
      <w:pPr>
        <w:pStyle w:val="Heading2"/>
      </w:pPr>
      <w:r>
        <w:t>4.4 Sync and cross-reference</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4873"/>
        <w:gridCol w:w="4873"/>
      </w:tblGrid>
      <w:tr>
        <w:tc>
          <w:tcPr>
            <w:tcW w:type="dxa" w:w="2268"/>
            <w:shd w:val="clear" w:color="auto" w:fill="0F2C4A"/>
            <w:vAlign w:val="center"/>
          </w:tcPr>
          <w:p>
            <w:r/>
            <w:r>
              <w:rPr>
                <w:b/>
                <w:color w:val="FFFFFF"/>
                <w:sz w:val="20"/>
              </w:rPr>
              <w:t>Entity</w:t>
            </w:r>
          </w:p>
        </w:tc>
        <w:tc>
          <w:tcPr>
            <w:tcW w:type="dxa" w:w="7370"/>
            <w:shd w:val="clear" w:color="auto" w:fill="0F2C4A"/>
            <w:vAlign w:val="center"/>
          </w:tcPr>
          <w:p>
            <w:r/>
            <w:r>
              <w:rPr>
                <w:b/>
                <w:color w:val="FFFFFF"/>
                <w:sz w:val="20"/>
              </w:rPr>
              <w:t>Purpose</w:t>
            </w:r>
          </w:p>
        </w:tc>
      </w:tr>
      <w:tr>
        <w:tc>
          <w:tcPr>
            <w:tcW w:type="dxa" w:w="2268"/>
            <w:shd w:val="clear" w:color="auto" w:fill="F4F7FB"/>
            <w:vAlign w:val="top"/>
          </w:tcPr>
          <w:p>
            <w:r/>
            <w:r>
              <w:rPr>
                <w:b/>
                <w:color w:val="0F2C4A"/>
                <w:sz w:val="20"/>
              </w:rPr>
              <w:t>sync_group</w:t>
            </w:r>
          </w:p>
        </w:tc>
        <w:tc>
          <w:tcPr>
            <w:tcW w:type="dxa" w:w="7370"/>
            <w:shd w:val="clear" w:color="auto" w:fill="F4F7FB"/>
            <w:vAlign w:val="top"/>
          </w:tcPr>
          <w:p>
            <w:r/>
            <w:r>
              <w:rPr>
                <w:sz w:val="20"/>
              </w:rPr>
              <w:t>Links one openEHR composition to the set of FHIR resources derived from it (or vice-versa). Fields: sync_group_id, origin_api, composition_uid, fhir_resource_refs[], mapping_version, created_at</w:t>
            </w:r>
          </w:p>
        </w:tc>
      </w:tr>
      <w:tr>
        <w:tc>
          <w:tcPr>
            <w:tcW w:type="dxa" w:w="2268"/>
            <w:vAlign w:val="top"/>
          </w:tcPr>
          <w:p>
            <w:r/>
            <w:r>
              <w:rPr>
                <w:b/>
                <w:color w:val="0F2C4A"/>
                <w:sz w:val="20"/>
              </w:rPr>
              <w:t>mapping_log</w:t>
            </w:r>
          </w:p>
        </w:tc>
        <w:tc>
          <w:tcPr>
            <w:tcW w:type="dxa" w:w="7370"/>
            <w:vAlign w:val="top"/>
          </w:tcPr>
          <w:p>
            <w:r/>
            <w:r>
              <w:rPr>
                <w:sz w:val="20"/>
              </w:rPr>
              <w:t>Per write: inputs, outputs, warnings (e.g. lossy fields stashed in feeder_audit)</w:t>
            </w:r>
          </w:p>
        </w:tc>
      </w:tr>
      <w:tr>
        <w:tc>
          <w:tcPr>
            <w:tcW w:type="dxa" w:w="2268"/>
            <w:shd w:val="clear" w:color="auto" w:fill="F4F7FB"/>
            <w:vAlign w:val="top"/>
          </w:tcPr>
          <w:p>
            <w:r/>
            <w:r>
              <w:rPr>
                <w:b/>
                <w:color w:val="0F2C4A"/>
                <w:sz w:val="20"/>
              </w:rPr>
              <w:t>reconciliation_queue</w:t>
            </w:r>
          </w:p>
        </w:tc>
        <w:tc>
          <w:tcPr>
            <w:tcW w:type="dxa" w:w="7370"/>
            <w:shd w:val="clear" w:color="auto" w:fill="F4F7FB"/>
            <w:vAlign w:val="top"/>
          </w:tcPr>
          <w:p>
            <w:r/>
            <w:r>
              <w:rPr>
                <w:sz w:val="20"/>
              </w:rPr>
              <w:t>Rows flagged when a mapping_definition is updated — old data may need rebuild of the mirror. Processed asynchronously.</w:t>
            </w:r>
          </w:p>
        </w:tc>
      </w:tr>
    </w:tbl>
    <w:p>
      <w:pPr>
        <w:pStyle w:val="Heading2"/>
      </w:pPr>
      <w:r>
        <w:t>4.5 Metadata</w:t>
      </w:r>
    </w:p>
    <w:p>
      <w:pPr>
        <w:pStyle w:val="ListBullet"/>
        <w:spacing w:after="40"/>
      </w:pPr>
      <w:r>
        <w:rPr>
          <w:b/>
        </w:rPr>
        <w:t xml:space="preserve">template — </w:t>
      </w:r>
      <w:r>
        <w:t>ADL 1.4 OPT, Web Template, ADL 2.</w:t>
      </w:r>
    </w:p>
    <w:p>
      <w:pPr>
        <w:pStyle w:val="ListBullet"/>
        <w:spacing w:after="40"/>
      </w:pPr>
      <w:r>
        <w:rPr>
          <w:b/>
        </w:rPr>
        <w:t xml:space="preserve">archetype — </w:t>
      </w:r>
      <w:r>
        <w:t>ADL source + parsed form.</w:t>
      </w:r>
    </w:p>
    <w:p>
      <w:pPr>
        <w:pStyle w:val="ListBullet"/>
        <w:spacing w:after="40"/>
      </w:pPr>
      <w:r>
        <w:rPr>
          <w:b/>
        </w:rPr>
        <w:t xml:space="preserve">structured_query — </w:t>
      </w:r>
      <w:r>
        <w:t>saved AQL queries, versioned.</w:t>
      </w:r>
    </w:p>
    <w:p>
      <w:pPr>
        <w:pStyle w:val="ListBullet"/>
        <w:spacing w:after="40"/>
      </w:pPr>
      <w:r>
        <w:rPr>
          <w:b/>
        </w:rPr>
        <w:t xml:space="preserve">fhir_profile — </w:t>
      </w:r>
      <w:r>
        <w:t>StructureDefinitions, ValueSets, CodeSystems, SearchParameters the repo enforces.</w:t>
      </w:r>
    </w:p>
    <w:p>
      <w:pPr>
        <w:pStyle w:val="ListBullet"/>
        <w:spacing w:after="40"/>
      </w:pPr>
      <w:r>
        <w:rPr>
          <w:b/>
        </w:rPr>
        <w:t xml:space="preserve">mapping_definition — </w:t>
      </w:r>
      <w:r>
        <w:t>declared openEHR ↔ FHIR mappings (see §7), versioned.</w:t>
      </w:r>
    </w:p>
    <w:p>
      <w:pPr>
        <w:pStyle w:val="Heading2"/>
      </w:pPr>
      <w:r>
        <w:t>4.6 Audit and change</w:t>
      </w:r>
    </w:p>
    <w:p>
      <w:pPr>
        <w:pStyle w:val="ListBullet"/>
        <w:spacing w:after="40"/>
      </w:pPr>
      <w:r>
        <w:rPr>
          <w:b/>
        </w:rPr>
        <w:t xml:space="preserve">audit_trail — </w:t>
      </w:r>
      <w:r>
        <w:t>every write: actor, timestamp, operation, target, originating API, request-id.</w:t>
      </w:r>
    </w:p>
    <w:p>
      <w:pPr>
        <w:pStyle w:val="ListBullet"/>
        <w:spacing w:after="40"/>
      </w:pPr>
      <w:r>
        <w:rPr>
          <w:b/>
        </w:rPr>
        <w:t xml:space="preserve">change_feed — </w:t>
      </w:r>
      <w:r>
        <w:t>append-only log of every commit, partitioned by tenant; consumed by subscriptions, bulk export, analytics replicas.</w:t>
      </w:r>
    </w:p>
    <w:p>
      <w:pPr>
        <w:pStyle w:val="Heading1"/>
      </w:pPr>
      <w:r>
        <w:t>5. openEHR API surface</w:t>
      </w:r>
    </w:p>
    <w:p>
      <w:r>
        <w:t>Conforms to the openEHR REST API specification v1.0.3+. Base path: /openehr/v1/.</w:t>
      </w:r>
    </w:p>
    <w:p>
      <w:pPr>
        <w:pStyle w:val="Heading2"/>
      </w:pPr>
      <w:r>
        <w:t>5.1 EHR lifecycle</w:t>
      </w:r>
    </w:p>
    <w:p>
      <w:pPr>
        <w:spacing w:before="80" w:after="120"/>
        <w:shd w:val="clear" w:color="auto" w:fill="F4F7FB"/>
        <w:ind w:left="170"/>
      </w:pPr>
      <w:r>
        <w:rPr>
          <w:rFonts w:ascii="Consolas" w:hAnsi="Consolas"/>
          <w:sz w:val="18"/>
        </w:rPr>
        <w:t>POST   /ehr                                        — create EHR (optional subject, ehr_status)</w:t>
        <w:br/>
        <w:t>GET    /ehr/{ehr_id}                               — fetch</w:t>
        <w:br/>
        <w:t>GET    /ehr?subject_id=&amp;subject_namespace=         — lookup by external patient id</w:t>
        <w:br/>
        <w:t>GET    /ehr/{ehr_id}/ehr_status                    — fetch status</w:t>
        <w:br/>
        <w:t>PUT    /ehr/{ehr_id}/ehr_status                    — update status (If-Match)</w:t>
      </w:r>
    </w:p>
    <w:p>
      <w:pPr>
        <w:pStyle w:val="Heading2"/>
      </w:pPr>
      <w:r>
        <w:t>5.2 Composition</w:t>
      </w:r>
    </w:p>
    <w:p>
      <w:pPr>
        <w:spacing w:before="80" w:after="120"/>
        <w:shd w:val="clear" w:color="auto" w:fill="F4F7FB"/>
        <w:ind w:left="170"/>
      </w:pPr>
      <w:r>
        <w:rPr>
          <w:rFonts w:ascii="Consolas" w:hAnsi="Consolas"/>
          <w:sz w:val="18"/>
        </w:rPr>
        <w:t>POST   /ehr/{ehr_id}/composition                   — create new composition</w:t>
        <w:br/>
        <w:t>PUT    /ehr/{ehr_id}/composition/{versioned_uid}   — new version (If-Match required)</w:t>
        <w:br/>
        <w:t>GET    /ehr/{ehr_id}/composition/{uid}             — fetch latest or specific version</w:t>
        <w:br/>
        <w:t>DELETE /ehr/{ehr_id}/composition/{uid}             — logical deletion</w:t>
      </w:r>
    </w:p>
    <w:p>
      <w:pPr>
        <w:pStyle w:val="Heading2"/>
      </w:pPr>
      <w:r>
        <w:t>5.3 Contribution (atomic multi-commit)</w:t>
      </w:r>
    </w:p>
    <w:p>
      <w:pPr>
        <w:spacing w:before="80" w:after="120"/>
        <w:shd w:val="clear" w:color="auto" w:fill="F4F7FB"/>
        <w:ind w:left="170"/>
      </w:pPr>
      <w:r>
        <w:rPr>
          <w:rFonts w:ascii="Consolas" w:hAnsi="Consolas"/>
          <w:sz w:val="18"/>
        </w:rPr>
        <w:t>POST   /ehr/{ehr_id}/contribution                  — array of versioned objects</w:t>
        <w:br/>
        <w:t xml:space="preserve">                                                     committed atomically under one audit</w:t>
      </w:r>
    </w:p>
    <w:p>
      <w:pPr>
        <w:pStyle w:val="Heading2"/>
      </w:pPr>
      <w:r>
        <w:t>5.4 Query — AQL</w:t>
      </w:r>
    </w:p>
    <w:p>
      <w:pPr>
        <w:spacing w:before="80" w:after="120"/>
        <w:shd w:val="clear" w:color="auto" w:fill="F4F7FB"/>
        <w:ind w:left="170"/>
      </w:pPr>
      <w:r>
        <w:rPr>
          <w:rFonts w:ascii="Consolas" w:hAnsi="Consolas"/>
          <w:sz w:val="18"/>
        </w:rPr>
        <w:t>GET    /query/aql?q=&lt;urlencoded AQL&gt;&amp;offset=&amp;fetch=</w:t>
        <w:br/>
        <w:t>POST   /query/aql                                  — body: { "q": "...", "query_parameters": {...} }</w:t>
        <w:br/>
        <w:t>GET    /definition/query/{qualified_name}/{ver}    — stored query</w:t>
        <w:br/>
        <w:t>POST   /query/aql/{qualified_name}/{ver}           — execute stored query</w:t>
      </w:r>
    </w:p>
    <w:p>
      <w:r>
        <w:t>Example AQL — all systolic blood pressure readings over 140 for a given patient:</w:t>
      </w:r>
    </w:p>
    <w:p>
      <w:pPr>
        <w:spacing w:before="80" w:after="120"/>
        <w:shd w:val="clear" w:color="auto" w:fill="F4F7FB"/>
        <w:ind w:left="170"/>
      </w:pPr>
      <w:r>
        <w:rPr>
          <w:rFonts w:ascii="Consolas" w:hAnsi="Consolas"/>
          <w:sz w:val="18"/>
        </w:rPr>
        <w:t>SELECT c/uid/value,</w:t>
        <w:br/>
        <w:t xml:space="preserve">       o/data[at0001]/events[at0006]/data[at0003]/items[at0004]/value</w:t>
        <w:br/>
        <w:t>FROM   EHR[ehr_id/value=$ehrId]</w:t>
        <w:br/>
        <w:t xml:space="preserve">       CONTAINS COMPOSITION c</w:t>
        <w:br/>
        <w:t xml:space="preserve">       CONTAINS OBSERVATION o[openEHR-EHR-OBSERVATION.blood_pressure.v2]</w:t>
        <w:br/>
        <w:t>WHERE  o/data[at0001]/events[at0006]/data[at0003]/items[at0004]/value/magnitude &gt; 140</w:t>
      </w:r>
    </w:p>
    <w:p>
      <w:pPr>
        <w:pStyle w:val="Heading2"/>
      </w:pPr>
      <w:r>
        <w:t>5.5 Template / definition</w:t>
      </w:r>
    </w:p>
    <w:p>
      <w:pPr>
        <w:spacing w:before="80" w:after="120"/>
        <w:shd w:val="clear" w:color="auto" w:fill="F4F7FB"/>
        <w:ind w:left="170"/>
      </w:pPr>
      <w:r>
        <w:rPr>
          <w:rFonts w:ascii="Consolas" w:hAnsi="Consolas"/>
          <w:sz w:val="18"/>
        </w:rPr>
        <w:t>POST   /definition/template/adl1.4                 — upload OPT</w:t>
        <w:br/>
        <w:t>GET    /definition/template/adl1.4/{template_id}</w:t>
        <w:br/>
        <w:t>POST   /definition/template/adl2                   — upload ADL 2 template</w:t>
        <w:br/>
        <w:t>GET    /definition/template/adl1.4/{tid}/example   — example composition for a template</w:t>
      </w:r>
    </w:p>
    <w:p>
      <w:pPr>
        <w:pStyle w:val="Heading2"/>
      </w:pPr>
      <w:r>
        <w:t>5.6 Folders and directory</w:t>
      </w:r>
    </w:p>
    <w:p>
      <w:pPr>
        <w:spacing w:before="80" w:after="120"/>
        <w:shd w:val="clear" w:color="auto" w:fill="F4F7FB"/>
        <w:ind w:left="170"/>
      </w:pPr>
      <w:r>
        <w:rPr>
          <w:rFonts w:ascii="Consolas" w:hAnsi="Consolas"/>
          <w:sz w:val="18"/>
        </w:rPr>
        <w:t>POST   /ehr/{ehr_id}/directory</w:t>
        <w:br/>
        <w:t>GET    /ehr/{ehr_id}/directory/{version_uid}</w:t>
      </w:r>
    </w:p>
    <w:p>
      <w:pPr>
        <w:pStyle w:val="Heading1"/>
      </w:pPr>
      <w:r>
        <w:t>6. FHIR R5 API surface</w:t>
      </w:r>
    </w:p>
    <w:p>
      <w:r>
        <w:t>Conforms to HL7 FHIR R5 RESTful API. Base path: /fhir/r5/.</w:t>
      </w:r>
    </w:p>
    <w:p>
      <w:pPr>
        <w:pStyle w:val="Heading2"/>
      </w:pPr>
      <w:r>
        <w:t>6.1 Resources supported</w:t>
      </w:r>
    </w:p>
    <w:p>
      <w:pPr>
        <w:pStyle w:val="Heading3"/>
      </w:pPr>
      <w:r>
        <w:t>Bidirectional (dual-persisted, mapping definition required)</w:t>
      </w:r>
    </w:p>
    <w:p>
      <w:pPr>
        <w:pStyle w:val="ListBullet"/>
        <w:spacing w:after="40"/>
      </w:pPr>
      <w:r>
        <w:t>Patient, Practitioner, PractitionerRole, Organization (via demographics service)</w:t>
      </w:r>
    </w:p>
    <w:p>
      <w:pPr>
        <w:pStyle w:val="ListBullet"/>
        <w:spacing w:after="40"/>
      </w:pPr>
      <w:r>
        <w:t>Encounter</w:t>
      </w:r>
    </w:p>
    <w:p>
      <w:pPr>
        <w:pStyle w:val="ListBullet"/>
        <w:spacing w:after="40"/>
      </w:pPr>
      <w:r>
        <w:t>Observation — mapped from openEHR OBSERVATION archetypes (vital signs, labs, measurements)</w:t>
      </w:r>
    </w:p>
    <w:p>
      <w:pPr>
        <w:pStyle w:val="ListBullet"/>
        <w:spacing w:after="40"/>
      </w:pPr>
      <w:r>
        <w:t>Condition — mapped from EVALUATION.problem_diagnosis</w:t>
      </w:r>
    </w:p>
    <w:p>
      <w:pPr>
        <w:pStyle w:val="ListBullet"/>
        <w:spacing w:after="40"/>
      </w:pPr>
      <w:r>
        <w:t>AllergyIntolerance — mapped from EVALUATION.adverse_reaction_risk</w:t>
      </w:r>
    </w:p>
    <w:p>
      <w:pPr>
        <w:pStyle w:val="ListBullet"/>
        <w:spacing w:after="40"/>
      </w:pPr>
      <w:r>
        <w:t>MedicationStatement, MedicationRequest, MedicationAdministration — from INSTRUCTION/ACTION medication archetypes</w:t>
      </w:r>
    </w:p>
    <w:p>
      <w:pPr>
        <w:pStyle w:val="ListBullet"/>
        <w:spacing w:after="40"/>
      </w:pPr>
      <w:r>
        <w:t>Procedure — from ACTION.procedure</w:t>
      </w:r>
    </w:p>
    <w:p>
      <w:pPr>
        <w:pStyle w:val="ListBullet"/>
        <w:spacing w:after="40"/>
      </w:pPr>
      <w:r>
        <w:t>Immunization, FamilyMemberHistory, DiagnosticReport</w:t>
      </w:r>
    </w:p>
    <w:p>
      <w:pPr>
        <w:pStyle w:val="ListBullet"/>
        <w:spacing w:after="40"/>
      </w:pPr>
      <w:r>
        <w:t>Composition (R5) — the FHIR resource is a projection of the openEHR COMPOSITION root</w:t>
      </w:r>
    </w:p>
    <w:p>
      <w:pPr>
        <w:pStyle w:val="Heading3"/>
      </w:pPr>
      <w:r>
        <w:t>FHIR-only (native FHIR storage only)</w:t>
      </w:r>
    </w:p>
    <w:p>
      <w:pPr>
        <w:pStyle w:val="ListBullet"/>
        <w:spacing w:after="40"/>
      </w:pPr>
      <w:r>
        <w:t>DocumentReference, Binary</w:t>
      </w:r>
    </w:p>
    <w:p>
      <w:pPr>
        <w:pStyle w:val="ListBullet"/>
        <w:spacing w:after="40"/>
      </w:pPr>
      <w:r>
        <w:t>Consent, Provenance</w:t>
      </w:r>
    </w:p>
    <w:p>
      <w:pPr>
        <w:pStyle w:val="ListBullet"/>
        <w:spacing w:after="40"/>
      </w:pPr>
      <w:r>
        <w:t>Task, Appointment, Schedule, Slot</w:t>
      </w:r>
    </w:p>
    <w:p>
      <w:pPr>
        <w:pStyle w:val="ListBullet"/>
        <w:spacing w:after="40"/>
      </w:pPr>
      <w:r>
        <w:t>ServiceRequest</w:t>
      </w:r>
    </w:p>
    <w:p>
      <w:pPr>
        <w:pStyle w:val="ListBullet"/>
        <w:spacing w:after="40"/>
      </w:pPr>
      <w:r>
        <w:t>Questionnaire, QuestionnaireResponse (treated as FHIR-native; may map opportunistically)</w:t>
      </w:r>
    </w:p>
    <w:p>
      <w:pPr>
        <w:pStyle w:val="Heading3"/>
      </w:pPr>
      <w:r>
        <w:t>Read-only projections</w:t>
      </w:r>
    </w:p>
    <w:p>
      <w:pPr>
        <w:pStyle w:val="ListBullet"/>
        <w:spacing w:after="40"/>
      </w:pPr>
      <w:r>
        <w:t>Bundle of type document — assembled projection of an openEHR composition, on demand</w:t>
      </w:r>
    </w:p>
    <w:p>
      <w:pPr>
        <w:pStyle w:val="Heading2"/>
      </w:pPr>
      <w:r>
        <w:t>6.2 Interactions</w:t>
      </w:r>
    </w:p>
    <w:p>
      <w:pPr>
        <w:spacing w:before="80" w:after="120"/>
        <w:shd w:val="clear" w:color="auto" w:fill="F4F7FB"/>
        <w:ind w:left="170"/>
      </w:pPr>
      <w:r>
        <w:rPr>
          <w:rFonts w:ascii="Consolas" w:hAnsi="Consolas"/>
          <w:sz w:val="18"/>
        </w:rPr>
        <w:t>read     GET    /fhir/r5/{type}/{id}</w:t>
        <w:br/>
        <w:t>vread    GET    /fhir/r5/{type}/{id}/_history/{vid}</w:t>
        <w:br/>
        <w:t>update   PUT    /fhir/r5/{type}/{id}         (If-Match ETag)</w:t>
        <w:br/>
        <w:t>patch    PATCH  /fhir/r5/{type}/{id}         (FHIRPath Patch or JSON Patch)</w:t>
        <w:br/>
        <w:t>create   POST   /fhir/r5/{type}</w:t>
        <w:br/>
        <w:t>delete   DELETE /fhir/r5/{type}/{id}</w:t>
        <w:br/>
        <w:t>history  GET    /fhir/r5/{type}/{id}/_history</w:t>
        <w:br/>
        <w:t>search   GET    /fhir/r5/{type}?...</w:t>
        <w:br/>
        <w:br/>
        <w:t>GET      /fhir/r5/metadata                   — CapabilityStatement</w:t>
        <w:br/>
        <w:t>POST     /fhir/r5/                           — transaction / batch Bundle</w:t>
        <w:br/>
        <w:t>GET      /fhir/r5/_history                   — system-wide change history</w:t>
      </w:r>
    </w:p>
    <w:p>
      <w:pPr>
        <w:pStyle w:val="Heading2"/>
      </w:pPr>
      <w:r>
        <w:t>6.3 Search</w:t>
      </w:r>
    </w:p>
    <w:p>
      <w:pPr>
        <w:pStyle w:val="ListBullet"/>
        <w:spacing w:after="40"/>
      </w:pPr>
      <w:r>
        <w:t>Common search parameters for all supported resources: patient, subject, code, date, identifier, category, _lastUpdated, _tag, _profile.</w:t>
      </w:r>
    </w:p>
    <w:p>
      <w:pPr>
        <w:pStyle w:val="ListBullet"/>
        <w:spacing w:after="40"/>
      </w:pPr>
      <w:r>
        <w:t>Chained (Observation?patient.identifier=...) and reverse-chained (_has) search.</w:t>
      </w:r>
    </w:p>
    <w:p>
      <w:pPr>
        <w:pStyle w:val="ListBullet"/>
        <w:spacing w:after="40"/>
      </w:pPr>
      <w:r>
        <w:t>Composite parameters (code-value-quantity).</w:t>
      </w:r>
    </w:p>
    <w:p>
      <w:pPr>
        <w:pStyle w:val="ListBullet"/>
        <w:spacing w:after="40"/>
      </w:pPr>
      <w:r>
        <w:t>Result modifiers: _include, _revinclude, _sort, _count, _summary, _elements, _total=accurate|estimate|none.</w:t>
      </w:r>
    </w:p>
    <w:p>
      <w:pPr>
        <w:pStyle w:val="ListBullet"/>
        <w:spacing w:after="40"/>
      </w:pPr>
      <w:r>
        <w:t>_filter expression (FHIRPath subset) for complex conditions.</w:t>
      </w:r>
    </w:p>
    <w:p>
      <w:pPr>
        <w:pStyle w:val="Heading2"/>
      </w:pPr>
      <w:r>
        <w:t>6.4 Operations</w:t>
      </w:r>
    </w:p>
    <w:p>
      <w:pPr>
        <w:pStyle w:val="ListBullet"/>
        <w:spacing w:after="40"/>
      </w:pPr>
      <w:r>
        <w:rPr>
          <w:b/>
        </w:rPr>
        <w:t xml:space="preserve">$everything — </w:t>
      </w:r>
      <w:r>
        <w:t>on Patient and Encounter; aggregate bundle of all related resources.</w:t>
      </w:r>
    </w:p>
    <w:p>
      <w:pPr>
        <w:pStyle w:val="ListBullet"/>
        <w:spacing w:after="40"/>
      </w:pPr>
      <w:r>
        <w:rPr>
          <w:b/>
        </w:rPr>
        <w:t xml:space="preserve">$validate — </w:t>
      </w:r>
      <w:r>
        <w:t>any resource, against declared profiles.</w:t>
      </w:r>
    </w:p>
    <w:p>
      <w:pPr>
        <w:pStyle w:val="ListBullet"/>
        <w:spacing w:after="40"/>
      </w:pPr>
      <w:r>
        <w:rPr>
          <w:b/>
        </w:rPr>
        <w:t xml:space="preserve">$expand / $lookup / $translate / $subsumes — </w:t>
      </w:r>
      <w:r>
        <w:t>delegated to terminology service (§8).</w:t>
      </w:r>
    </w:p>
    <w:p>
      <w:pPr>
        <w:pStyle w:val="ListBullet"/>
        <w:spacing w:after="40"/>
      </w:pPr>
      <w:r>
        <w:rPr>
          <w:b/>
        </w:rPr>
        <w:t xml:space="preserve">$match — </w:t>
      </w:r>
      <w:r>
        <w:t>on Patient, delegated to MPI.</w:t>
      </w:r>
    </w:p>
    <w:p>
      <w:pPr>
        <w:pStyle w:val="ListBullet"/>
        <w:spacing w:after="40"/>
      </w:pPr>
      <w:r>
        <w:rPr>
          <w:b/>
        </w:rPr>
        <w:t xml:space="preserve">$meta-add / $meta-delete — </w:t>
      </w:r>
      <w:r>
        <w:t>tag maintenance.</w:t>
      </w:r>
    </w:p>
    <w:p>
      <w:pPr>
        <w:pStyle w:val="Heading2"/>
      </w:pPr>
      <w:r>
        <w:t>6.5 Bulk data</w:t>
      </w:r>
    </w:p>
    <w:p>
      <w:pPr>
        <w:pStyle w:val="ListBullet"/>
        <w:spacing w:after="40"/>
      </w:pPr>
      <w:r>
        <w:t>FHIR Bulk Data Access (Flat FHIR): $export at system, Group and Patient level.</w:t>
      </w:r>
    </w:p>
    <w:p>
      <w:pPr>
        <w:pStyle w:val="ListBullet"/>
        <w:spacing w:after="40"/>
      </w:pPr>
      <w:r>
        <w:t>NDJSON output written to signed URLs (blob store).</w:t>
      </w:r>
    </w:p>
    <w:p>
      <w:pPr>
        <w:pStyle w:val="ListBullet"/>
        <w:spacing w:after="40"/>
      </w:pPr>
      <w:r>
        <w:t>Kick-off + polling pattern with 202 Accepted; status endpoint per job.</w:t>
      </w:r>
    </w:p>
    <w:p>
      <w:pPr>
        <w:pStyle w:val="Heading2"/>
      </w:pPr>
      <w:r>
        <w:t>6.6 Subscriptions (R5 native)</w:t>
      </w:r>
    </w:p>
    <w:p>
      <w:pPr>
        <w:pStyle w:val="ListBullet"/>
        <w:spacing w:after="40"/>
      </w:pPr>
      <w:r>
        <w:t>Subscription + SubscriptionTopic — the R5 topic-based model is first-class; no R4 backport needed.</w:t>
      </w:r>
    </w:p>
    <w:p>
      <w:pPr>
        <w:pStyle w:val="ListBullet"/>
        <w:spacing w:after="40"/>
      </w:pPr>
      <w:r>
        <w:t>Channels: rest-hook, websocket, message (Kafka).</w:t>
      </w:r>
    </w:p>
    <w:p>
      <w:pPr>
        <w:pStyle w:val="ListBullet"/>
        <w:spacing w:after="40"/>
      </w:pPr>
      <w:r>
        <w:t>Filters expressed against SubscriptionTopic-declared criteria; one topic can feed many subscribers.</w:t>
      </w:r>
    </w:p>
    <w:p>
      <w:pPr>
        <w:pStyle w:val="ListBullet"/>
        <w:spacing w:after="40"/>
      </w:pPr>
      <w:r>
        <w:t>Delivery is at-least-once, per-subscriber ordering guaranteed, replay from last acknowledged event offset.</w:t>
      </w:r>
    </w:p>
    <w:p>
      <w:pPr>
        <w:pStyle w:val="Heading1"/>
      </w:pPr>
      <w:r>
        <w:t>7. Mapping layer (openEHR ↔ FHIR)</w:t>
      </w:r>
    </w:p>
    <w:p>
      <w:r>
        <w:t>The mapping layer runs at write time only. Its job: translate an incoming write on one API into the mirror representation, which is committed to the other store in the same transaction. Reads never invoke mapping.</w:t>
      </w:r>
    </w:p>
    <w:p>
      <w:pPr>
        <w:pStyle w:val="Heading2"/>
      </w:pPr>
      <w:r>
        <w:t>7.1 Mapping definitions</w:t>
      </w:r>
    </w:p>
    <w:p>
      <w:pPr>
        <w:pStyle w:val="ListBullet"/>
        <w:spacing w:after="40"/>
      </w:pPr>
      <w:r>
        <w:t>Stored as mapping_definition rows, one per (openEHR archetype + path, FHIR profile) pair.</w:t>
      </w:r>
    </w:p>
    <w:p>
      <w:pPr>
        <w:pStyle w:val="ListBullet"/>
        <w:spacing w:after="40"/>
      </w:pPr>
      <w:r>
        <w:t>Expressed as FHIR StructureMap with an openEHR extension vocabulary so tooling remains standard.</w:t>
      </w:r>
    </w:p>
    <w:p>
      <w:pPr>
        <w:pStyle w:val="ListBullet"/>
        <w:spacing w:after="40"/>
      </w:pPr>
      <w:r>
        <w:t>Versioned; every committed write records the mapping_version used, so a later mapping change does not silently invalidate old data.</w:t>
      </w:r>
    </w:p>
    <w:p>
      <w:pPr>
        <w:pStyle w:val="ListBullet"/>
        <w:spacing w:after="40"/>
      </w:pPr>
      <w:r>
        <w:t>A default library of ~30 mappings ships with the product and covers ~80% of routine clinical events (see §7.3).</w:t>
      </w:r>
    </w:p>
    <w:p>
      <w:pPr>
        <w:pStyle w:val="Heading2"/>
      </w:pPr>
      <w:r>
        <w:t>7.2 Write execution</w:t>
      </w:r>
    </w:p>
    <w:p>
      <w:pPr>
        <w:pStyle w:val="Heading3"/>
      </w:pPr>
      <w:r>
        <w:t>FHIR → openEHR (write via FHIR)</w:t>
      </w:r>
    </w:p>
    <w:p>
      <w:pPr>
        <w:pStyle w:val="ListBullet"/>
        <w:spacing w:after="40"/>
      </w:pPr>
      <w:r>
        <w:t>Validate the incoming resource against its declared profile.</w:t>
      </w:r>
    </w:p>
    <w:p>
      <w:pPr>
        <w:pStyle w:val="ListBullet"/>
        <w:spacing w:after="40"/>
      </w:pPr>
      <w:r>
        <w:t>Resolve references (subject → MPI patient_id, encounter, practitioner).</w:t>
      </w:r>
    </w:p>
    <w:p>
      <w:pPr>
        <w:pStyle w:val="ListBullet"/>
        <w:spacing w:after="40"/>
      </w:pPr>
      <w:r>
        <w:t>Look up the mapping definition for this profile; if none, record in mapping_log and commit FHIR-only (warning emitted).</w:t>
      </w:r>
    </w:p>
    <w:p>
      <w:pPr>
        <w:pStyle w:val="ListBullet"/>
        <w:spacing w:after="40"/>
      </w:pPr>
      <w:r>
        <w:t>Apply mapping to synthesise an openEHR COMPOSITION conforming to the target template.</w:t>
      </w:r>
    </w:p>
    <w:p>
      <w:pPr>
        <w:pStyle w:val="ListBullet"/>
        <w:spacing w:after="40"/>
      </w:pPr>
      <w:r>
        <w:t>Commit COMPOSITION via the normal openEHR write path (audit, versioning, change feed) in the same transaction as the FHIR resource.</w:t>
      </w:r>
    </w:p>
    <w:p>
      <w:pPr>
        <w:pStyle w:val="ListBullet"/>
        <w:spacing w:after="40"/>
      </w:pPr>
      <w:r>
        <w:t>Record sync_group linking the two representations.</w:t>
      </w:r>
    </w:p>
    <w:p>
      <w:pPr>
        <w:pStyle w:val="Heading3"/>
      </w:pPr>
      <w:r>
        <w:t>openEHR → FHIR (write via openEHR)</w:t>
      </w:r>
    </w:p>
    <w:p>
      <w:pPr>
        <w:pStyle w:val="ListBullet"/>
        <w:spacing w:after="40"/>
      </w:pPr>
      <w:r>
        <w:t>Validate COMPOSITION against its template (archetype constraints, terminology bindings).</w:t>
      </w:r>
    </w:p>
    <w:p>
      <w:pPr>
        <w:pStyle w:val="ListBullet"/>
        <w:spacing w:after="40"/>
      </w:pPr>
      <w:r>
        <w:t>Traverse the COMPOSITION tree; for each archetype node with a declared mapping, produce the corresponding FHIR resource.</w:t>
      </w:r>
    </w:p>
    <w:p>
      <w:pPr>
        <w:pStyle w:val="ListBullet"/>
        <w:spacing w:after="40"/>
      </w:pPr>
      <w:r>
        <w:t>Validate each produced FHIR resource against its profile.</w:t>
      </w:r>
    </w:p>
    <w:p>
      <w:pPr>
        <w:pStyle w:val="ListBullet"/>
        <w:spacing w:after="40"/>
      </w:pPr>
      <w:r>
        <w:t>Commit all resulting FHIR resources (fhir_resource + fhir_resource_history) in the same transaction.</w:t>
      </w:r>
    </w:p>
    <w:p>
      <w:pPr>
        <w:pStyle w:val="ListBullet"/>
        <w:spacing w:after="40"/>
      </w:pPr>
      <w:r>
        <w:t>Record sync_group.</w:t>
      </w:r>
    </w:p>
    <w:p>
      <w:pPr>
        <w:pStyle w:val="Heading2"/>
      </w:pPr>
      <w:r>
        <w:t>7.3 Lossy data</w:t>
      </w:r>
    </w:p>
    <w:p>
      <w:r>
        <w:t>Some fields on either side have no clean target on the other. Policy:</w:t>
      </w:r>
    </w:p>
    <w:p>
      <w:pPr>
        <w:pStyle w:val="ListBullet"/>
        <w:spacing w:after="40"/>
      </w:pPr>
      <w:r>
        <w:t>FHIR fields with no archetype target → stashed in COMPOSITION feeder_audit.originating_system_item_ids / other_details, so a later FHIR read from openEHR can round-trip them.</w:t>
      </w:r>
    </w:p>
    <w:p>
      <w:pPr>
        <w:pStyle w:val="ListBullet"/>
        <w:spacing w:after="40"/>
      </w:pPr>
      <w:r>
        <w:t>openEHR fields with no FHIR target → stashed in resource.extension using a repo-internal URI scheme.</w:t>
      </w:r>
    </w:p>
    <w:p>
      <w:pPr>
        <w:pStyle w:val="ListBullet"/>
        <w:spacing w:after="40"/>
      </w:pPr>
      <w:r>
        <w:t>A mapping round-trip test suite (golden files) runs in CI for every shipped mapping: write FHIR → read openEHR → re-emit FHIR → assert semantic equality. Same for the reverse direction.</w:t>
      </w:r>
    </w:p>
    <w:p>
      <w:pPr>
        <w:pStyle w:val="Heading2"/>
      </w:pPr>
      <w:r>
        <w:t>7.4 Conflicting concurrent writes</w:t>
      </w:r>
    </w:p>
    <w:p>
      <w:pPr>
        <w:pStyle w:val="ListBullet"/>
        <w:spacing w:after="40"/>
      </w:pPr>
      <w:r>
        <w:t>Last-writer-wins at the sync_group level; provenance records both the originating API and the mapping_version.</w:t>
      </w:r>
    </w:p>
    <w:p>
      <w:pPr>
        <w:pStyle w:val="ListBullet"/>
        <w:spacing w:after="40"/>
      </w:pPr>
      <w:r>
        <w:t>Optimistic concurrency via ETag / If-Match on both APIs; a stale write is rejected with 412 Precondition Failed.</w:t>
      </w:r>
    </w:p>
    <w:p>
      <w:pPr>
        <w:pStyle w:val="ListBullet"/>
        <w:spacing w:after="40"/>
      </w:pPr>
      <w:r>
        <w:t>If a mapping_definition is updated, existing sync_groups are not rewritten immediately — they are enqueued in reconciliation_queue and rebuilt in the background, with the old mirror remaining readable until the new one is committed.</w:t>
      </w:r>
    </w:p>
    <w:p>
      <w:pPr>
        <w:pStyle w:val="Heading2"/>
      </w:pPr>
      <w:r>
        <w:t>7.5 Shipped mapping library (illustrative subset)</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4873"/>
        <w:gridCol w:w="4873"/>
      </w:tblGrid>
      <w:tr>
        <w:tc>
          <w:tcPr>
            <w:tcW w:type="dxa" w:w="4819"/>
            <w:shd w:val="clear" w:color="auto" w:fill="0F2C4A"/>
            <w:vAlign w:val="center"/>
          </w:tcPr>
          <w:p>
            <w:r/>
            <w:r>
              <w:rPr>
                <w:b/>
                <w:color w:val="FFFFFF"/>
                <w:sz w:val="20"/>
              </w:rPr>
              <w:t>openEHR archetype</w:t>
            </w:r>
          </w:p>
        </w:tc>
        <w:tc>
          <w:tcPr>
            <w:tcW w:type="dxa" w:w="4819"/>
            <w:shd w:val="clear" w:color="auto" w:fill="0F2C4A"/>
            <w:vAlign w:val="center"/>
          </w:tcPr>
          <w:p>
            <w:r/>
            <w:r>
              <w:rPr>
                <w:b/>
                <w:color w:val="FFFFFF"/>
                <w:sz w:val="20"/>
              </w:rPr>
              <w:t>FHIR resource / profile</w:t>
            </w:r>
          </w:p>
        </w:tc>
      </w:tr>
      <w:tr>
        <w:tc>
          <w:tcPr>
            <w:tcW w:type="dxa" w:w="4819"/>
            <w:shd w:val="clear" w:color="auto" w:fill="F4F7FB"/>
            <w:vAlign w:val="top"/>
          </w:tcPr>
          <w:p>
            <w:r/>
            <w:r>
              <w:rPr>
                <w:b/>
                <w:color w:val="0F2C4A"/>
                <w:sz w:val="20"/>
              </w:rPr>
              <w:t>openEHR-EHR-OBSERVATION.blood_pressure.v2</w:t>
            </w:r>
          </w:p>
        </w:tc>
        <w:tc>
          <w:tcPr>
            <w:tcW w:type="dxa" w:w="4819"/>
            <w:shd w:val="clear" w:color="auto" w:fill="F4F7FB"/>
            <w:vAlign w:val="top"/>
          </w:tcPr>
          <w:p>
            <w:r/>
            <w:r>
              <w:rPr>
                <w:sz w:val="20"/>
              </w:rPr>
              <w:t>Observation — bp profile (systolic + diastolic components)</w:t>
            </w:r>
          </w:p>
        </w:tc>
      </w:tr>
      <w:tr>
        <w:tc>
          <w:tcPr>
            <w:tcW w:type="dxa" w:w="4819"/>
            <w:vAlign w:val="top"/>
          </w:tcPr>
          <w:p>
            <w:r/>
            <w:r>
              <w:rPr>
                <w:b/>
                <w:color w:val="0F2C4A"/>
                <w:sz w:val="20"/>
              </w:rPr>
              <w:t>openEHR-EHR-OBSERVATION.body_weight.v2</w:t>
            </w:r>
          </w:p>
        </w:tc>
        <w:tc>
          <w:tcPr>
            <w:tcW w:type="dxa" w:w="4819"/>
            <w:vAlign w:val="top"/>
          </w:tcPr>
          <w:p>
            <w:r/>
            <w:r>
              <w:rPr>
                <w:sz w:val="20"/>
              </w:rPr>
              <w:t>Observation — LOINC 29463-7</w:t>
            </w:r>
          </w:p>
        </w:tc>
      </w:tr>
      <w:tr>
        <w:tc>
          <w:tcPr>
            <w:tcW w:type="dxa" w:w="4819"/>
            <w:shd w:val="clear" w:color="auto" w:fill="F4F7FB"/>
            <w:vAlign w:val="top"/>
          </w:tcPr>
          <w:p>
            <w:r/>
            <w:r>
              <w:rPr>
                <w:b/>
                <w:color w:val="0F2C4A"/>
                <w:sz w:val="20"/>
              </w:rPr>
              <w:t>openEHR-EHR-OBSERVATION.body_temperature.v2</w:t>
            </w:r>
          </w:p>
        </w:tc>
        <w:tc>
          <w:tcPr>
            <w:tcW w:type="dxa" w:w="4819"/>
            <w:shd w:val="clear" w:color="auto" w:fill="F4F7FB"/>
            <w:vAlign w:val="top"/>
          </w:tcPr>
          <w:p>
            <w:r/>
            <w:r>
              <w:rPr>
                <w:sz w:val="20"/>
              </w:rPr>
              <w:t>Observation — LOINC 8310-5</w:t>
            </w:r>
          </w:p>
        </w:tc>
      </w:tr>
      <w:tr>
        <w:tc>
          <w:tcPr>
            <w:tcW w:type="dxa" w:w="4819"/>
            <w:vAlign w:val="top"/>
          </w:tcPr>
          <w:p>
            <w:r/>
            <w:r>
              <w:rPr>
                <w:b/>
                <w:color w:val="0F2C4A"/>
                <w:sz w:val="20"/>
              </w:rPr>
              <w:t>openEHR-EHR-OBSERVATION.pulse.v2</w:t>
            </w:r>
          </w:p>
        </w:tc>
        <w:tc>
          <w:tcPr>
            <w:tcW w:type="dxa" w:w="4819"/>
            <w:vAlign w:val="top"/>
          </w:tcPr>
          <w:p>
            <w:r/>
            <w:r>
              <w:rPr>
                <w:sz w:val="20"/>
              </w:rPr>
              <w:t>Observation — LOINC 8867-4</w:t>
            </w:r>
          </w:p>
        </w:tc>
      </w:tr>
      <w:tr>
        <w:tc>
          <w:tcPr>
            <w:tcW w:type="dxa" w:w="4819"/>
            <w:shd w:val="clear" w:color="auto" w:fill="F4F7FB"/>
            <w:vAlign w:val="top"/>
          </w:tcPr>
          <w:p>
            <w:r/>
            <w:r>
              <w:rPr>
                <w:b/>
                <w:color w:val="0F2C4A"/>
                <w:sz w:val="20"/>
              </w:rPr>
              <w:t>openEHR-EHR-OBSERVATION.laboratory_test_result.v1</w:t>
            </w:r>
          </w:p>
        </w:tc>
        <w:tc>
          <w:tcPr>
            <w:tcW w:type="dxa" w:w="4819"/>
            <w:shd w:val="clear" w:color="auto" w:fill="F4F7FB"/>
            <w:vAlign w:val="top"/>
          </w:tcPr>
          <w:p>
            <w:r/>
            <w:r>
              <w:rPr>
                <w:sz w:val="20"/>
              </w:rPr>
              <w:t>Observation / DiagnosticReport</w:t>
            </w:r>
          </w:p>
        </w:tc>
      </w:tr>
      <w:tr>
        <w:tc>
          <w:tcPr>
            <w:tcW w:type="dxa" w:w="4819"/>
            <w:vAlign w:val="top"/>
          </w:tcPr>
          <w:p>
            <w:r/>
            <w:r>
              <w:rPr>
                <w:b/>
                <w:color w:val="0F2C4A"/>
                <w:sz w:val="20"/>
              </w:rPr>
              <w:t>openEHR-EHR-EVALUATION.problem_diagnosis.v1</w:t>
            </w:r>
          </w:p>
        </w:tc>
        <w:tc>
          <w:tcPr>
            <w:tcW w:type="dxa" w:w="4819"/>
            <w:vAlign w:val="top"/>
          </w:tcPr>
          <w:p>
            <w:r/>
            <w:r>
              <w:rPr>
                <w:sz w:val="20"/>
              </w:rPr>
              <w:t>Condition</w:t>
            </w:r>
          </w:p>
        </w:tc>
      </w:tr>
      <w:tr>
        <w:tc>
          <w:tcPr>
            <w:tcW w:type="dxa" w:w="4819"/>
            <w:shd w:val="clear" w:color="auto" w:fill="F4F7FB"/>
            <w:vAlign w:val="top"/>
          </w:tcPr>
          <w:p>
            <w:r/>
            <w:r>
              <w:rPr>
                <w:b/>
                <w:color w:val="0F2C4A"/>
                <w:sz w:val="20"/>
              </w:rPr>
              <w:t>openEHR-EHR-EVALUATION.adverse_reaction_risk.v1</w:t>
            </w:r>
          </w:p>
        </w:tc>
        <w:tc>
          <w:tcPr>
            <w:tcW w:type="dxa" w:w="4819"/>
            <w:shd w:val="clear" w:color="auto" w:fill="F4F7FB"/>
            <w:vAlign w:val="top"/>
          </w:tcPr>
          <w:p>
            <w:r/>
            <w:r>
              <w:rPr>
                <w:sz w:val="20"/>
              </w:rPr>
              <w:t>AllergyIntolerance</w:t>
            </w:r>
          </w:p>
        </w:tc>
      </w:tr>
      <w:tr>
        <w:tc>
          <w:tcPr>
            <w:tcW w:type="dxa" w:w="4819"/>
            <w:vAlign w:val="top"/>
          </w:tcPr>
          <w:p>
            <w:r/>
            <w:r>
              <w:rPr>
                <w:b/>
                <w:color w:val="0F2C4A"/>
                <w:sz w:val="20"/>
              </w:rPr>
              <w:t>openEHR-EHR-INSTRUCTION.medication_order.v2</w:t>
            </w:r>
          </w:p>
        </w:tc>
        <w:tc>
          <w:tcPr>
            <w:tcW w:type="dxa" w:w="4819"/>
            <w:vAlign w:val="top"/>
          </w:tcPr>
          <w:p>
            <w:r/>
            <w:r>
              <w:rPr>
                <w:sz w:val="20"/>
              </w:rPr>
              <w:t>MedicationRequest</w:t>
            </w:r>
          </w:p>
        </w:tc>
      </w:tr>
      <w:tr>
        <w:tc>
          <w:tcPr>
            <w:tcW w:type="dxa" w:w="4819"/>
            <w:shd w:val="clear" w:color="auto" w:fill="F4F7FB"/>
            <w:vAlign w:val="top"/>
          </w:tcPr>
          <w:p>
            <w:r/>
            <w:r>
              <w:rPr>
                <w:b/>
                <w:color w:val="0F2C4A"/>
                <w:sz w:val="20"/>
              </w:rPr>
              <w:t>openEHR-EHR-ACTION.medication.v1</w:t>
            </w:r>
          </w:p>
        </w:tc>
        <w:tc>
          <w:tcPr>
            <w:tcW w:type="dxa" w:w="4819"/>
            <w:shd w:val="clear" w:color="auto" w:fill="F4F7FB"/>
            <w:vAlign w:val="top"/>
          </w:tcPr>
          <w:p>
            <w:r/>
            <w:r>
              <w:rPr>
                <w:sz w:val="20"/>
              </w:rPr>
              <w:t>MedicationAdministration</w:t>
            </w:r>
          </w:p>
        </w:tc>
      </w:tr>
      <w:tr>
        <w:tc>
          <w:tcPr>
            <w:tcW w:type="dxa" w:w="4819"/>
            <w:vAlign w:val="top"/>
          </w:tcPr>
          <w:p>
            <w:r/>
            <w:r>
              <w:rPr>
                <w:b/>
                <w:color w:val="0F2C4A"/>
                <w:sz w:val="20"/>
              </w:rPr>
              <w:t>openEHR-EHR-ACTION.procedure.v1</w:t>
            </w:r>
          </w:p>
        </w:tc>
        <w:tc>
          <w:tcPr>
            <w:tcW w:type="dxa" w:w="4819"/>
            <w:vAlign w:val="top"/>
          </w:tcPr>
          <w:p>
            <w:r/>
            <w:r>
              <w:rPr>
                <w:sz w:val="20"/>
              </w:rPr>
              <w:t>Procedure</w:t>
            </w:r>
          </w:p>
        </w:tc>
      </w:tr>
      <w:tr>
        <w:tc>
          <w:tcPr>
            <w:tcW w:type="dxa" w:w="4819"/>
            <w:shd w:val="clear" w:color="auto" w:fill="F4F7FB"/>
            <w:vAlign w:val="top"/>
          </w:tcPr>
          <w:p>
            <w:r/>
            <w:r>
              <w:rPr>
                <w:b/>
                <w:color w:val="0F2C4A"/>
                <w:sz w:val="20"/>
              </w:rPr>
              <w:t>openEHR-EHR-ACTION.immunisation_procedure.v1</w:t>
            </w:r>
          </w:p>
        </w:tc>
        <w:tc>
          <w:tcPr>
            <w:tcW w:type="dxa" w:w="4819"/>
            <w:shd w:val="clear" w:color="auto" w:fill="F4F7FB"/>
            <w:vAlign w:val="top"/>
          </w:tcPr>
          <w:p>
            <w:r/>
            <w:r>
              <w:rPr>
                <w:sz w:val="20"/>
              </w:rPr>
              <w:t>Immunization</w:t>
            </w:r>
          </w:p>
        </w:tc>
      </w:tr>
    </w:tbl>
    <w:p>
      <w:pPr>
        <w:pStyle w:val="Heading1"/>
      </w:pPr>
      <w:r>
        <w:t>8. Terminology services</w:t>
      </w:r>
    </w:p>
    <w:p>
      <w:pPr>
        <w:pStyle w:val="ListBullet"/>
        <w:spacing w:after="40"/>
      </w:pPr>
      <w:r>
        <w:t>Externalised behind a FHIR Terminology API ($expand, $validate-code, $lookup, $translate, $subsumes). The CDR delegates all lookups to it.</w:t>
      </w:r>
    </w:p>
    <w:p>
      <w:pPr>
        <w:pStyle w:val="ListBullet"/>
        <w:spacing w:after="40"/>
      </w:pPr>
      <w:r>
        <w:t>Code systems required: SNOMED CT, LOINC, ICD-10 and ICD-11, ATC, UCUM, RxNorm (locale-dependent).</w:t>
      </w:r>
    </w:p>
    <w:p>
      <w:pPr>
        <w:pStyle w:val="ListBullet"/>
        <w:spacing w:after="40"/>
      </w:pPr>
      <w:r>
        <w:t>openEHR DV_CODED_TEXT ↔ FHIR CodeableConcept mapping is mechanical (system URI + code + display); only terminology_id disambiguation matters.</w:t>
      </w:r>
    </w:p>
    <w:p>
      <w:pPr>
        <w:pStyle w:val="ListBullet"/>
        <w:spacing w:after="40"/>
      </w:pPr>
      <w:r>
        <w:t>Value-set binding enforcement is a CDR concern: composition writes validate against archetype terminology bindings; FHIR writes validate against profile bindings.</w:t>
      </w:r>
    </w:p>
    <w:p>
      <w:pPr>
        <w:pStyle w:val="ListBullet"/>
        <w:spacing w:after="40"/>
      </w:pPr>
      <w:r>
        <w:t>Translation maps (ConceptMap) are used where a mapping definition needs to translate between coding systems (e.g. local lab codes → LOINC).</w:t>
      </w:r>
    </w:p>
    <w:p>
      <w:pPr>
        <w:pStyle w:val="Heading1"/>
      </w:pPr>
      <w:r>
        <w:t>9. Identity / MPI</w:t>
      </w:r>
    </w:p>
    <w:p>
      <w:pPr>
        <w:pStyle w:val="ListBullet"/>
        <w:spacing w:after="40"/>
      </w:pPr>
      <w:r>
        <w:t>Internal patient ID is a stable UUID; all external identifiers (national ID, MRN per facility) are facets.</w:t>
      </w:r>
    </w:p>
    <w:p>
      <w:pPr>
        <w:pStyle w:val="ListBullet"/>
        <w:spacing w:after="40"/>
      </w:pPr>
      <w:r>
        <w:t>$match on Patient uses given + family name, birth date, gender, plus any matching identifier, with weighted probabilistic scoring.</w:t>
      </w:r>
    </w:p>
    <w:p>
      <w:pPr>
        <w:pStyle w:val="ListBullet"/>
        <w:spacing w:after="40"/>
      </w:pPr>
      <w:r>
        <w:t>Merge operation: POST /demographics/patient/$merge?source=…&amp;target=… creates a patient_link of type replaced-by on the source; historical data is not rewritten but reads resolve to the target.</w:t>
      </w:r>
    </w:p>
    <w:p>
      <w:pPr>
        <w:pStyle w:val="ListBullet"/>
        <w:spacing w:after="40"/>
      </w:pPr>
      <w:r>
        <w:t>EHR ↔ patient binding: ehr.subject_ref points to the internal patient UUID; merges are transparent to clinical data.</w:t>
      </w:r>
    </w:p>
    <w:p>
      <w:pPr>
        <w:pStyle w:val="Heading1"/>
      </w:pPr>
      <w:r>
        <w:t>10. Query services</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4873"/>
        <w:gridCol w:w="4873"/>
      </w:tblGrid>
      <w:tr>
        <w:tc>
          <w:tcPr>
            <w:tcW w:type="dxa" w:w="2551"/>
            <w:shd w:val="clear" w:color="auto" w:fill="0F2C4A"/>
            <w:vAlign w:val="center"/>
          </w:tcPr>
          <w:p>
            <w:r/>
            <w:r>
              <w:rPr>
                <w:b/>
                <w:color w:val="FFFFFF"/>
                <w:sz w:val="20"/>
              </w:rPr>
              <w:t>Consumer</w:t>
            </w:r>
          </w:p>
        </w:tc>
        <w:tc>
          <w:tcPr>
            <w:tcW w:type="dxa" w:w="7087"/>
            <w:shd w:val="clear" w:color="auto" w:fill="0F2C4A"/>
            <w:vAlign w:val="center"/>
          </w:tcPr>
          <w:p>
            <w:r/>
            <w:r>
              <w:rPr>
                <w:b/>
                <w:color w:val="FFFFFF"/>
                <w:sz w:val="20"/>
              </w:rPr>
              <w:t>Query surface</w:t>
            </w:r>
          </w:p>
        </w:tc>
      </w:tr>
      <w:tr>
        <w:tc>
          <w:tcPr>
            <w:tcW w:type="dxa" w:w="2551"/>
            <w:shd w:val="clear" w:color="auto" w:fill="F4F7FB"/>
            <w:vAlign w:val="top"/>
          </w:tcPr>
          <w:p>
            <w:r/>
            <w:r>
              <w:rPr>
                <w:b/>
                <w:color w:val="0F2C4A"/>
                <w:sz w:val="20"/>
              </w:rPr>
              <w:t>openEHR clients</w:t>
            </w:r>
          </w:p>
        </w:tc>
        <w:tc>
          <w:tcPr>
            <w:tcW w:type="dxa" w:w="7087"/>
            <w:shd w:val="clear" w:color="auto" w:fill="F4F7FB"/>
            <w:vAlign w:val="top"/>
          </w:tcPr>
          <w:p>
            <w:r/>
            <w:r>
              <w:rPr>
                <w:sz w:val="20"/>
              </w:rPr>
              <w:t>AQL — path-based, archetype-aware</w:t>
            </w:r>
          </w:p>
        </w:tc>
      </w:tr>
      <w:tr>
        <w:tc>
          <w:tcPr>
            <w:tcW w:type="dxa" w:w="2551"/>
            <w:vAlign w:val="top"/>
          </w:tcPr>
          <w:p>
            <w:r/>
            <w:r>
              <w:rPr>
                <w:b/>
                <w:color w:val="0F2C4A"/>
                <w:sz w:val="20"/>
              </w:rPr>
              <w:t>FHIR clients</w:t>
            </w:r>
          </w:p>
        </w:tc>
        <w:tc>
          <w:tcPr>
            <w:tcW w:type="dxa" w:w="7087"/>
            <w:vAlign w:val="top"/>
          </w:tcPr>
          <w:p>
            <w:r/>
            <w:r>
              <w:rPr>
                <w:sz w:val="20"/>
              </w:rPr>
              <w:t>FHIR search + FHIRPath (_filter)</w:t>
            </w:r>
          </w:p>
        </w:tc>
      </w:tr>
      <w:tr>
        <w:tc>
          <w:tcPr>
            <w:tcW w:type="dxa" w:w="2551"/>
            <w:shd w:val="clear" w:color="auto" w:fill="F4F7FB"/>
            <w:vAlign w:val="top"/>
          </w:tcPr>
          <w:p>
            <w:r/>
            <w:r>
              <w:rPr>
                <w:b/>
                <w:color w:val="0F2C4A"/>
                <w:sz w:val="20"/>
              </w:rPr>
              <w:t>Analytics / BI</w:t>
            </w:r>
          </w:p>
        </w:tc>
        <w:tc>
          <w:tcPr>
            <w:tcW w:type="dxa" w:w="7087"/>
            <w:shd w:val="clear" w:color="auto" w:fill="F4F7FB"/>
            <w:vAlign w:val="top"/>
          </w:tcPr>
          <w:p>
            <w:r/>
            <w:r>
              <w:rPr>
                <w:sz w:val="20"/>
              </w:rPr>
              <w:t>Read replica with flattened views (observation_flat, condition_flat, medication_flat), generated asynchronously from the change feed</w:t>
            </w:r>
          </w:p>
        </w:tc>
      </w:tr>
      <w:tr>
        <w:tc>
          <w:tcPr>
            <w:tcW w:type="dxa" w:w="2551"/>
            <w:vAlign w:val="top"/>
          </w:tcPr>
          <w:p>
            <w:r/>
            <w:r>
              <w:rPr>
                <w:b/>
                <w:color w:val="0F2C4A"/>
                <w:sz w:val="20"/>
              </w:rPr>
              <w:t>Ad-hoc / research</w:t>
            </w:r>
          </w:p>
        </w:tc>
        <w:tc>
          <w:tcPr>
            <w:tcW w:type="dxa" w:w="7087"/>
            <w:vAlign w:val="top"/>
          </w:tcPr>
          <w:p>
            <w:r/>
            <w:r>
              <w:rPr>
                <w:sz w:val="20"/>
              </w:rPr>
              <w:t>$export NDJSON (FHIR Bulk), or a SQL-on-FHIR view layer over the read replica</w:t>
            </w:r>
          </w:p>
        </w:tc>
      </w:tr>
    </w:tbl>
    <w:p>
      <w:r>
        <w:rPr>
          <w:i/>
          <w:color w:val="6B7380"/>
          <w:sz w:val="20"/>
        </w:rPr>
        <w:t>All query surfaces read from the appropriate native store. Flattened views are derived asynchronously from the change feed and are eventually consistent with the primary stores.</w:t>
      </w:r>
    </w:p>
    <w:p>
      <w:pPr>
        <w:pStyle w:val="Heading1"/>
      </w:pPr>
      <w:r>
        <w:t>11. Eventing / subscriptions</w:t>
      </w:r>
    </w:p>
    <w:p>
      <w:pPr>
        <w:pStyle w:val="ListBullet"/>
        <w:spacing w:after="40"/>
      </w:pPr>
      <w:r>
        <w:t>Single internal change_feed (append-only log) is the source of truth for all notifications. One event per logical write, with both the openEHR and FHIR representations referenced by id.</w:t>
      </w:r>
    </w:p>
    <w:p>
      <w:pPr>
        <w:pStyle w:val="ListBullet"/>
        <w:spacing w:after="40"/>
      </w:pPr>
      <w:r>
        <w:t>Two subscription façades sit on top of the change feed:</w:t>
      </w:r>
    </w:p>
    <w:p>
      <w:pPr>
        <w:pStyle w:val="ListBullet2"/>
        <w:spacing w:after="40"/>
      </w:pPr>
      <w:r>
        <w:t>FHIR R5 Subscription + SubscriptionTopic — native, filters expressed as SubscriptionTopic criteria.</w:t>
      </w:r>
    </w:p>
    <w:p>
      <w:pPr>
        <w:pStyle w:val="ListBullet2"/>
        <w:spacing w:after="40"/>
      </w:pPr>
      <w:r>
        <w:t>openEHR notification — AQL-based trigger expressions; non-standard but necessary for AQL consumers.</w:t>
      </w:r>
    </w:p>
    <w:p>
      <w:pPr>
        <w:pStyle w:val="ListBullet"/>
        <w:spacing w:after="40"/>
      </w:pPr>
      <w:r>
        <w:t>Delivery channels: REST hook, WebSocket, Kafka topic (for high-volume downstream consumers).</w:t>
      </w:r>
    </w:p>
    <w:p>
      <w:pPr>
        <w:pStyle w:val="ListBullet"/>
        <w:spacing w:after="40"/>
      </w:pPr>
      <w:r>
        <w:t>At-least-once delivery, per-subscriber ordering guarantee, replay from last-acknowledged offset.</w:t>
      </w:r>
    </w:p>
    <w:p>
      <w:pPr>
        <w:pStyle w:val="Heading1"/>
      </w:pPr>
      <w:r>
        <w:t>12. Versioning &amp; audit</w:t>
      </w:r>
    </w:p>
    <w:p>
      <w:pPr>
        <w:pStyle w:val="ListBullet"/>
        <w:spacing w:after="40"/>
      </w:pPr>
      <w:r>
        <w:t>Every write is a single transaction that produces: a new version row in each affected store, an audit_trail entry, and one change_feed event.</w:t>
      </w:r>
    </w:p>
    <w:p>
      <w:pPr>
        <w:pStyle w:val="ListBullet"/>
        <w:spacing w:after="40"/>
      </w:pPr>
      <w:r>
        <w:t>VERSIONED_OBJECT semantics are preserved for all openEHR writes (full history, preceding_version_uid chain).</w:t>
      </w:r>
    </w:p>
    <w:p>
      <w:pPr>
        <w:pStyle w:val="ListBullet"/>
        <w:spacing w:after="40"/>
      </w:pPr>
      <w:r>
        <w:t>FHIR _history is backed by fhir_resource_history rows; reads for any version ID return the snapshot at that point.</w:t>
      </w:r>
    </w:p>
    <w:p>
      <w:pPr>
        <w:pStyle w:val="ListBullet"/>
        <w:spacing w:after="40"/>
      </w:pPr>
      <w:r>
        <w:t>Audit captures: committer (actor), committer-on-behalf-of, timestamp, system_id, reason, originating API, request-id, mapping_version (if applicable).</w:t>
      </w:r>
    </w:p>
    <w:p>
      <w:pPr>
        <w:pStyle w:val="ListBullet"/>
        <w:spacing w:after="40"/>
      </w:pPr>
      <w:r>
        <w:t>Provenance is available as a FHIR Provenance resource on request for any clinical fact, reconstructed from audit_trail.</w:t>
      </w:r>
    </w:p>
    <w:p>
      <w:pPr>
        <w:pStyle w:val="Heading1"/>
      </w:pPr>
      <w:r>
        <w:t>13. Template &amp; profile management</w:t>
      </w:r>
    </w:p>
    <w:p>
      <w:pPr>
        <w:pStyle w:val="ListBullet"/>
        <w:spacing w:after="40"/>
      </w:pPr>
      <w:r>
        <w:t>openEHR: upload OPT / ADL templates, list, fetch, disable (templates cannot be hard-deleted if data exists against them).</w:t>
      </w:r>
    </w:p>
    <w:p>
      <w:pPr>
        <w:pStyle w:val="ListBullet"/>
        <w:spacing w:after="40"/>
      </w:pPr>
      <w:r>
        <w:t>FHIR: upload StructureDefinitions, ValueSets, CodeSystems, SearchParameters, Questionnaires, ConceptMaps.</w:t>
      </w:r>
    </w:p>
    <w:p>
      <w:pPr>
        <w:pStyle w:val="ListBullet"/>
        <w:spacing w:after="40"/>
      </w:pPr>
      <w:r>
        <w:t>$validate on any FHIR resource against any declared profile, ad-hoc or on write.</w:t>
      </w:r>
    </w:p>
    <w:p>
      <w:pPr>
        <w:pStyle w:val="ListBullet"/>
        <w:spacing w:after="40"/>
      </w:pPr>
      <w:r>
        <w:t>Template ↔ profile linkage is declared per mapping_definition, version-pinned. Changing a template or profile forces a new mapping_version.</w:t>
      </w:r>
    </w:p>
    <w:p>
      <w:pPr>
        <w:pStyle w:val="ListBullet"/>
        <w:spacing w:after="40"/>
      </w:pPr>
      <w:r>
        <w:t>Retiring a template or profile marks it inactive; existing data remains readable but new writes against the retired artefact are rejected.</w:t>
      </w:r>
    </w:p>
    <w:p>
      <w:pPr>
        <w:pStyle w:val="Heading1"/>
      </w:pPr>
      <w:r>
        <w:t>14. Non-functional targets</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4873"/>
        <w:gridCol w:w="4873"/>
      </w:tblGrid>
      <w:tr>
        <w:tc>
          <w:tcPr>
            <w:tcW w:type="dxa" w:w="4819"/>
            <w:shd w:val="clear" w:color="auto" w:fill="0F2C4A"/>
            <w:vAlign w:val="center"/>
          </w:tcPr>
          <w:p>
            <w:r/>
            <w:r>
              <w:rPr>
                <w:b/>
                <w:color w:val="FFFFFF"/>
                <w:sz w:val="20"/>
              </w:rPr>
              <w:t>Concern</w:t>
            </w:r>
          </w:p>
        </w:tc>
        <w:tc>
          <w:tcPr>
            <w:tcW w:type="dxa" w:w="4819"/>
            <w:shd w:val="clear" w:color="auto" w:fill="0F2C4A"/>
            <w:vAlign w:val="center"/>
          </w:tcPr>
          <w:p>
            <w:r/>
            <w:r>
              <w:rPr>
                <w:b/>
                <w:color w:val="FFFFFF"/>
                <w:sz w:val="20"/>
              </w:rPr>
              <w:t>Target</w:t>
            </w:r>
          </w:p>
        </w:tc>
      </w:tr>
      <w:tr>
        <w:tc>
          <w:tcPr>
            <w:tcW w:type="dxa" w:w="4819"/>
            <w:shd w:val="clear" w:color="auto" w:fill="F4F7FB"/>
            <w:vAlign w:val="top"/>
          </w:tcPr>
          <w:p>
            <w:r/>
            <w:r>
              <w:rPr>
                <w:b/>
                <w:color w:val="0F2C4A"/>
                <w:sz w:val="20"/>
              </w:rPr>
              <w:t>Write latency (single composition / resource, incl. dual-store commit)</w:t>
            </w:r>
          </w:p>
        </w:tc>
        <w:tc>
          <w:tcPr>
            <w:tcW w:type="dxa" w:w="4819"/>
            <w:shd w:val="clear" w:color="auto" w:fill="F4F7FB"/>
            <w:vAlign w:val="top"/>
          </w:tcPr>
          <w:p>
            <w:r/>
            <w:r>
              <w:rPr>
                <w:sz w:val="20"/>
              </w:rPr>
              <w:t>p95 &lt; 200 ms</w:t>
            </w:r>
          </w:p>
        </w:tc>
      </w:tr>
      <w:tr>
        <w:tc>
          <w:tcPr>
            <w:tcW w:type="dxa" w:w="4819"/>
            <w:vAlign w:val="top"/>
          </w:tcPr>
          <w:p>
            <w:r/>
            <w:r>
              <w:rPr>
                <w:b/>
                <w:color w:val="0F2C4A"/>
                <w:sz w:val="20"/>
              </w:rPr>
              <w:t>Read latency (single composition / resource, native store)</w:t>
            </w:r>
          </w:p>
        </w:tc>
        <w:tc>
          <w:tcPr>
            <w:tcW w:type="dxa" w:w="4819"/>
            <w:vAlign w:val="top"/>
          </w:tcPr>
          <w:p>
            <w:r/>
            <w:r>
              <w:rPr>
                <w:sz w:val="20"/>
              </w:rPr>
              <w:t>p95 &lt; 50 ms</w:t>
            </w:r>
          </w:p>
        </w:tc>
      </w:tr>
      <w:tr>
        <w:tc>
          <w:tcPr>
            <w:tcW w:type="dxa" w:w="4819"/>
            <w:shd w:val="clear" w:color="auto" w:fill="F4F7FB"/>
            <w:vAlign w:val="top"/>
          </w:tcPr>
          <w:p>
            <w:r/>
            <w:r>
              <w:rPr>
                <w:b/>
                <w:color w:val="0F2C4A"/>
                <w:sz w:val="20"/>
              </w:rPr>
              <w:t>AQL query (typical 3-CONTAINS clause, 1 M compositions)</w:t>
            </w:r>
          </w:p>
        </w:tc>
        <w:tc>
          <w:tcPr>
            <w:tcW w:type="dxa" w:w="4819"/>
            <w:shd w:val="clear" w:color="auto" w:fill="F4F7FB"/>
            <w:vAlign w:val="top"/>
          </w:tcPr>
          <w:p>
            <w:r/>
            <w:r>
              <w:rPr>
                <w:sz w:val="20"/>
              </w:rPr>
              <w:t>p95 &lt; 500 ms</w:t>
            </w:r>
          </w:p>
        </w:tc>
      </w:tr>
      <w:tr>
        <w:tc>
          <w:tcPr>
            <w:tcW w:type="dxa" w:w="4819"/>
            <w:vAlign w:val="top"/>
          </w:tcPr>
          <w:p>
            <w:r/>
            <w:r>
              <w:rPr>
                <w:b/>
                <w:color w:val="0F2C4A"/>
                <w:sz w:val="20"/>
              </w:rPr>
              <w:t>FHIR search (indexed params)</w:t>
            </w:r>
          </w:p>
        </w:tc>
        <w:tc>
          <w:tcPr>
            <w:tcW w:type="dxa" w:w="4819"/>
            <w:vAlign w:val="top"/>
          </w:tcPr>
          <w:p>
            <w:r/>
            <w:r>
              <w:rPr>
                <w:sz w:val="20"/>
              </w:rPr>
              <w:t>p95 &lt; 200 ms</w:t>
            </w:r>
          </w:p>
        </w:tc>
      </w:tr>
      <w:tr>
        <w:tc>
          <w:tcPr>
            <w:tcW w:type="dxa" w:w="4819"/>
            <w:shd w:val="clear" w:color="auto" w:fill="F4F7FB"/>
            <w:vAlign w:val="top"/>
          </w:tcPr>
          <w:p>
            <w:r/>
            <w:r>
              <w:rPr>
                <w:b/>
                <w:color w:val="0F2C4A"/>
                <w:sz w:val="20"/>
              </w:rPr>
              <w:t>Ingestion throughput (per tenant shard)</w:t>
            </w:r>
          </w:p>
        </w:tc>
        <w:tc>
          <w:tcPr>
            <w:tcW w:type="dxa" w:w="4819"/>
            <w:shd w:val="clear" w:color="auto" w:fill="F4F7FB"/>
            <w:vAlign w:val="top"/>
          </w:tcPr>
          <w:p>
            <w:r/>
            <w:r>
              <w:rPr>
                <w:sz w:val="20"/>
              </w:rPr>
              <w:t>≥ 500 clinical facts/sec</w:t>
            </w:r>
          </w:p>
        </w:tc>
      </w:tr>
      <w:tr>
        <w:tc>
          <w:tcPr>
            <w:tcW w:type="dxa" w:w="4819"/>
            <w:vAlign w:val="top"/>
          </w:tcPr>
          <w:p>
            <w:r/>
            <w:r>
              <w:rPr>
                <w:b/>
                <w:color w:val="0F2C4A"/>
                <w:sz w:val="20"/>
              </w:rPr>
              <w:t>Storage backend</w:t>
            </w:r>
          </w:p>
        </w:tc>
        <w:tc>
          <w:tcPr>
            <w:tcW w:type="dxa" w:w="4819"/>
            <w:vAlign w:val="top"/>
          </w:tcPr>
          <w:p>
            <w:r/>
            <w:r>
              <w:rPr>
                <w:sz w:val="20"/>
              </w:rPr>
              <w:t>Postgres 15+ with JSONB + GIN indexes; partitioned by tenant + time; cold partitions offloaded</w:t>
            </w:r>
          </w:p>
        </w:tc>
      </w:tr>
      <w:tr>
        <w:tc>
          <w:tcPr>
            <w:tcW w:type="dxa" w:w="4819"/>
            <w:shd w:val="clear" w:color="auto" w:fill="F4F7FB"/>
            <w:vAlign w:val="top"/>
          </w:tcPr>
          <w:p>
            <w:r/>
            <w:r>
              <w:rPr>
                <w:b/>
                <w:color w:val="0F2C4A"/>
                <w:sz w:val="20"/>
              </w:rPr>
              <w:t>Storage overhead from dual persistence</w:t>
            </w:r>
          </w:p>
        </w:tc>
        <w:tc>
          <w:tcPr>
            <w:tcW w:type="dxa" w:w="4819"/>
            <w:shd w:val="clear" w:color="auto" w:fill="F4F7FB"/>
            <w:vAlign w:val="top"/>
          </w:tcPr>
          <w:p>
            <w:r/>
            <w:r>
              <w:rPr>
                <w:sz w:val="20"/>
              </w:rPr>
              <w:t>~1.6–2.0× single-store (FHIR form compresses well alongside openEHR canonical JSON)</w:t>
            </w:r>
          </w:p>
        </w:tc>
      </w:tr>
      <w:tr>
        <w:tc>
          <w:tcPr>
            <w:tcW w:type="dxa" w:w="4819"/>
            <w:vAlign w:val="top"/>
          </w:tcPr>
          <w:p>
            <w:r/>
            <w:r>
              <w:rPr>
                <w:b/>
                <w:color w:val="0F2C4A"/>
                <w:sz w:val="20"/>
              </w:rPr>
              <w:t>Scale-out</w:t>
            </w:r>
          </w:p>
        </w:tc>
        <w:tc>
          <w:tcPr>
            <w:tcW w:type="dxa" w:w="4819"/>
            <w:vAlign w:val="top"/>
          </w:tcPr>
          <w:p>
            <w:r/>
            <w:r>
              <w:rPr>
                <w:sz w:val="20"/>
              </w:rPr>
              <w:t>Read replicas + query router; write path single-leader per tenant shard</w:t>
            </w:r>
          </w:p>
        </w:tc>
      </w:tr>
      <w:tr>
        <w:tc>
          <w:tcPr>
            <w:tcW w:type="dxa" w:w="4819"/>
            <w:shd w:val="clear" w:color="auto" w:fill="F4F7FB"/>
            <w:vAlign w:val="top"/>
          </w:tcPr>
          <w:p>
            <w:r/>
            <w:r>
              <w:rPr>
                <w:b/>
                <w:color w:val="0F2C4A"/>
                <w:sz w:val="20"/>
              </w:rPr>
              <w:t>Recovery point objective (RPO)</w:t>
            </w:r>
          </w:p>
        </w:tc>
        <w:tc>
          <w:tcPr>
            <w:tcW w:type="dxa" w:w="4819"/>
            <w:shd w:val="clear" w:color="auto" w:fill="F4F7FB"/>
            <w:vAlign w:val="top"/>
          </w:tcPr>
          <w:p>
            <w:r/>
            <w:r>
              <w:rPr>
                <w:sz w:val="20"/>
              </w:rPr>
              <w:t>≤ 5 minutes</w:t>
            </w:r>
          </w:p>
        </w:tc>
      </w:tr>
      <w:tr>
        <w:tc>
          <w:tcPr>
            <w:tcW w:type="dxa" w:w="4819"/>
            <w:vAlign w:val="top"/>
          </w:tcPr>
          <w:p>
            <w:r/>
            <w:r>
              <w:rPr>
                <w:b/>
                <w:color w:val="0F2C4A"/>
                <w:sz w:val="20"/>
              </w:rPr>
              <w:t>Recovery time objective (RTO)</w:t>
            </w:r>
          </w:p>
        </w:tc>
        <w:tc>
          <w:tcPr>
            <w:tcW w:type="dxa" w:w="4819"/>
            <w:vAlign w:val="top"/>
          </w:tcPr>
          <w:p>
            <w:r/>
            <w:r>
              <w:rPr>
                <w:sz w:val="20"/>
              </w:rPr>
              <w:t>≤ 30 minutes</w:t>
            </w:r>
          </w:p>
        </w:tc>
      </w:tr>
    </w:tbl>
    <w:p>
      <w:pPr>
        <w:pStyle w:val="Heading1"/>
      </w:pPr>
      <w:r>
        <w:t>15. Out of scope (for this specification)</w:t>
      </w:r>
    </w:p>
    <w:p>
      <w:pPr>
        <w:pStyle w:val="ListBullet"/>
        <w:spacing w:after="40"/>
      </w:pPr>
      <w:r>
        <w:t>Authentication, authorisation, consent enforcement, break-the-glass — to be specified separately.</w:t>
      </w:r>
    </w:p>
    <w:p>
      <w:pPr>
        <w:pStyle w:val="ListBullet"/>
        <w:spacing w:after="40"/>
      </w:pPr>
      <w:r>
        <w:t>PHI de-identification / pseudonymisation pipelines.</w:t>
      </w:r>
    </w:p>
    <w:p>
      <w:pPr>
        <w:pStyle w:val="ListBullet"/>
        <w:spacing w:after="40"/>
      </w:pPr>
      <w:r>
        <w:t>UI, forms, questionnaire rendering.</w:t>
      </w:r>
    </w:p>
    <w:p>
      <w:pPr>
        <w:pStyle w:val="ListBullet"/>
        <w:spacing w:after="40"/>
      </w:pPr>
      <w:r>
        <w:t>Billing, claims, scheduling business logic.</w:t>
      </w:r>
    </w:p>
    <w:p>
      <w:pPr>
        <w:pStyle w:val="ListBullet"/>
        <w:spacing w:after="40"/>
      </w:pPr>
      <w:r>
        <w:t>Deployment topology, infrastructure, HA configuration.</w:t>
      </w:r>
    </w:p>
    <w:p>
      <w:pPr>
        <w:pStyle w:val="ListBullet"/>
        <w:spacing w:after="40"/>
      </w:pPr>
      <w:r>
        <w:t>FHIR R4 compatibility layer — possible future work; the mapping and storage layers are version-aware and could host an R4 façade if needed.</w:t>
      </w:r>
    </w:p>
    <w:p>
      <w:pPr>
        <w:pBdr>
          <w:bottom w:val="single" w:sz="6" w:color="D0D7DE"/>
        </w:pBdr>
      </w:pPr>
    </w:p>
    <w:p>
      <w:pPr>
        <w:jc w:val="center"/>
      </w:pPr>
      <w:r>
        <w:rPr>
          <w:i/>
          <w:color w:val="6B7380"/>
          <w:sz w:val="20"/>
        </w:rPr>
        <w:t>— End of specification draft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F2C4A"/>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86D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0F2C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6B92E72A0AD644438883FFC3BD797788" ma:contentTypeVersion="9" ma:contentTypeDescription="Skapa ett nytt dokument." ma:contentTypeScope="" ma:versionID="486a28fabb1eabf933461c2c3c1bf5cb">
  <xsd:schema xmlns:xsd="http://www.w3.org/2001/XMLSchema" xmlns:xs="http://www.w3.org/2001/XMLSchema" xmlns:p="http://schemas.microsoft.com/office/2006/metadata/properties" xmlns:ns2="f0fbe950-8133-400a-a1da-41cbb0fb62f6" targetNamespace="http://schemas.microsoft.com/office/2006/metadata/properties" ma:root="true" ma:fieldsID="620473b6e69530c84575689e650d0693" ns2:_="">
    <xsd:import namespace="f0fbe950-8133-400a-a1da-41cbb0fb62f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fbe950-8133-400a-a1da-41cbb0fb62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8B25654-B9C6-4A64-9F23-61721B4EB480}"/>
</file>

<file path=customXml/itemProps3.xml><?xml version="1.0" encoding="utf-8"?>
<ds:datastoreItem xmlns:ds="http://schemas.openxmlformats.org/officeDocument/2006/customXml" ds:itemID="{E0CAD8E0-271C-4931-A0BA-DBF1C6DE0799}"/>
</file>

<file path=customXml/itemProps4.xml><?xml version="1.0" encoding="utf-8"?>
<ds:datastoreItem xmlns:ds="http://schemas.openxmlformats.org/officeDocument/2006/customXml" ds:itemID="{A0A4FDA4-0A03-40F2-B11F-978E4243602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0x0101006B92E72A0AD644438883FFC3BD797788</vt:lpwstr>
  </property>
</Properties>
</file>