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EU Patient Summary: headers, structure and ICD-11</w:t>
      </w:r>
    </w:p>
    <w:p>
      <w:pPr>
        <w:spacing w:after="120"/>
      </w:pPr>
      <w:r>
        <w:rPr>
          <w:b/>
          <w:bCs/>
        </w:rPr>
        <w:t xml:space="preserve">Short answer: </w:t>
      </w:r>
      <w:r>
        <w:t xml:space="preserve">ICD-11 is not obligatory. The EU patient summary keeps ICD-10 as the diagnosis code system and only allows ICD-11 as an alternative alongside it. SNOMED CT is the main clinical terminology.</w:t>
      </w:r>
    </w:p>
    <w:p>
      <w:pPr>
        <w:pStyle w:val="Heading1"/>
      </w:pPr>
      <w:r>
        <w:t xml:space="preserve">Headers (sections)</w:t>
      </w:r>
    </w:p>
    <w:p>
      <w:pPr>
        <w:spacing w:after="120"/>
      </w:pPr>
      <w:r>
        <w:t xml:space="preserve">The EU patient summary builds on the ISO 27269 / HL7 FHIR International Patient Summary (IPS). The EU eHealth Network guideline, refined by the Xt-EHR Joint Action, adds a few EU-specific sections.</w:t>
      </w:r>
    </w:p>
    <w:p>
      <w:pPr>
        <w:pStyle w:val="Heading2"/>
      </w:pPr>
      <w:r>
        <w:t xml:space="preserve">Document header (metadata)</w:t>
      </w:r>
    </w:p>
    <w:p>
      <w:pPr>
        <w:pStyle w:val="ListParagraph"/>
        <w:numPr>
          <w:ilvl w:val="0"/>
          <w:numId w:val="2"/>
        </w:numPr>
        <w:spacing w:after="60"/>
      </w:pPr>
      <w:r>
        <w:t xml:space="preserve">Patient identification and demographics (ID, name, date of birth, sex)</w:t>
      </w:r>
    </w:p>
    <w:p>
      <w:pPr>
        <w:pStyle w:val="ListParagraph"/>
        <w:numPr>
          <w:ilvl w:val="0"/>
          <w:numId w:val="2"/>
        </w:numPr>
        <w:spacing w:after="60"/>
      </w:pPr>
      <w:r>
        <w:t xml:space="preserve">Contact persons and legal guardian</w:t>
      </w:r>
    </w:p>
    <w:p>
      <w:pPr>
        <w:pStyle w:val="ListParagraph"/>
        <w:numPr>
          <w:ilvl w:val="0"/>
          <w:numId w:val="2"/>
        </w:numPr>
        <w:spacing w:after="60"/>
      </w:pPr>
      <w:r>
        <w:t xml:space="preserve">Health insurance</w:t>
      </w:r>
    </w:p>
    <w:p>
      <w:pPr>
        <w:pStyle w:val="ListParagraph"/>
        <w:numPr>
          <w:ilvl w:val="0"/>
          <w:numId w:val="2"/>
        </w:numPr>
        <w:spacing w:after="60"/>
      </w:pPr>
      <w:r>
        <w:t xml:space="preserve">Author, legal authenticator and custodian organisation</w:t>
      </w:r>
    </w:p>
    <w:p>
      <w:pPr>
        <w:pStyle w:val="ListParagraph"/>
        <w:numPr>
          <w:ilvl w:val="0"/>
          <w:numId w:val="2"/>
        </w:numPr>
        <w:spacing w:after="60"/>
      </w:pPr>
      <w:r>
        <w:t xml:space="preserve">Date of creation, last update, language, country of origin</w:t>
      </w:r>
    </w:p>
    <w:p>
      <w:pPr>
        <w:pStyle w:val="Heading2"/>
      </w:pPr>
      <w:r>
        <w:t xml:space="preserve">Body sections, by obligation level in the 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b/>
                <w:bCs/>
              </w:rPr>
              <w:t xml:space="preserve">Level</w:t>
            </w:r>
          </w:p>
        </w:tc>
        <w:tc>
          <w:tcPr>
            <w:tcW w:type="dxa" w:w="6826"/>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b/>
                <w:bCs/>
              </w:rPr>
              <w:t xml:space="preserve">Sections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Required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Allergies and intolerances; Problem list (active conditions); Medication summary</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Recommended</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Immunisations; History of procedures; Medical devices and implants; Diagnostic results (lab and imaging)</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Optional</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Vital signs; Past illnesses; Pregnancy (current and history); Social history; Functional status; Plan of care; Advance directives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EU additions</w:t>
            </w:r>
          </w:p>
        </w:tc>
        <w:tc>
          <w:tcPr>
            <w:tcW w:type="dxa" w:w="6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Medical alerts; Travel history; patient-provided information</w:t>
            </w:r>
          </w:p>
        </w:tc>
      </w:tr>
    </w:tbl>
    <w:p>
      <w:pPr>
        <w:spacing w:after="120" w:before="160"/>
      </w:pPr>
      <w:r>
        <w:t xml:space="preserve">The Xt-EHR EHDS logical models list separate building blocks for alerts, medication use, procedures, immunisation, current pregnancy, travel history, advance directives and care plan.</w:t>
      </w:r>
    </w:p>
    <w:p>
      <w:pPr>
        <w:pStyle w:val="Heading1"/>
      </w:pPr>
      <w:r>
        <w:t xml:space="preserve">How structured it is</w:t>
      </w:r>
    </w:p>
    <w:p>
      <w:pPr>
        <w:spacing w:after="120"/>
      </w:pPr>
      <w:r>
        <w:t xml:space="preserve">It is a hybrid format.</w:t>
      </w:r>
    </w:p>
    <w:p>
      <w:pPr>
        <w:pStyle w:val="ListParagraph"/>
        <w:numPr>
          <w:ilvl w:val="0"/>
          <w:numId w:val="2"/>
        </w:numPr>
        <w:spacing w:after="60"/>
      </w:pPr>
      <w:r>
        <w:rPr>
          <w:b/>
          <w:bCs/>
        </w:rPr>
        <w:t xml:space="preserve">Narrative: </w:t>
      </w:r>
      <w:r>
        <w:t xml:space="preserve">Every section carries human-readable text. This is what a clinician abroad sees, so it is the safety net.</w:t>
      </w:r>
    </w:p>
    <w:p>
      <w:pPr>
        <w:pStyle w:val="ListParagraph"/>
        <w:numPr>
          <w:ilvl w:val="0"/>
          <w:numId w:val="2"/>
        </w:numPr>
        <w:spacing w:after="60"/>
      </w:pPr>
      <w:r>
        <w:rPr>
          <w:b/>
          <w:bCs/>
        </w:rPr>
        <w:t xml:space="preserve">Coded entries: </w:t>
      </w:r>
      <w:r>
        <w:t xml:space="preserve">Underneath the text are structured, coded entries, such as FHIR resources (Condition, AllergyIntolerance, MedicationStatement and so on) or CDA entries.</w:t>
      </w:r>
    </w:p>
    <w:p>
      <w:pPr>
        <w:spacing w:after="80" w:before="120"/>
      </w:pPr>
      <w:r>
        <w:t xml:space="preserve">The terminologies used:</w:t>
      </w:r>
    </w:p>
    <w:p>
      <w:pPr>
        <w:pStyle w:val="ListParagraph"/>
        <w:numPr>
          <w:ilvl w:val="0"/>
          <w:numId w:val="2"/>
        </w:numPr>
        <w:spacing w:after="60"/>
      </w:pPr>
      <w:r>
        <w:rPr>
          <w:b/>
          <w:bCs/>
        </w:rPr>
        <w:t xml:space="preserve">SNOMED CT </w:t>
      </w:r>
      <w:r>
        <w:t xml:space="preserve">for clinical content. SNOMED International has made a free set of SNOMED CT terms available as part of its Global Patient Set to support IPS implementation.</w:t>
      </w:r>
    </w:p>
    <w:p>
      <w:pPr>
        <w:pStyle w:val="ListParagraph"/>
        <w:numPr>
          <w:ilvl w:val="0"/>
          <w:numId w:val="2"/>
        </w:numPr>
        <w:spacing w:after="60"/>
      </w:pPr>
      <w:r>
        <w:rPr>
          <w:b/>
          <w:bCs/>
        </w:rPr>
        <w:t xml:space="preserve">LOINC </w:t>
      </w:r>
      <w:r>
        <w:t xml:space="preserve">for document and section types and for lab results.</w:t>
      </w:r>
    </w:p>
    <w:p>
      <w:pPr>
        <w:pStyle w:val="ListParagraph"/>
        <w:numPr>
          <w:ilvl w:val="0"/>
          <w:numId w:val="2"/>
        </w:numPr>
        <w:spacing w:after="60"/>
      </w:pPr>
      <w:r>
        <w:rPr>
          <w:b/>
          <w:bCs/>
        </w:rPr>
        <w:t xml:space="preserve">ATC and EDQM </w:t>
      </w:r>
      <w:r>
        <w:t xml:space="preserve">for medicines.</w:t>
      </w:r>
    </w:p>
    <w:p>
      <w:pPr>
        <w:pStyle w:val="ListParagraph"/>
        <w:numPr>
          <w:ilvl w:val="0"/>
          <w:numId w:val="2"/>
        </w:numPr>
        <w:spacing w:after="60"/>
      </w:pPr>
      <w:r>
        <w:rPr>
          <w:b/>
          <w:bCs/>
        </w:rPr>
        <w:t xml:space="preserve">UCUM </w:t>
      </w:r>
      <w:r>
        <w:t xml:space="preserve">for units.</w:t>
      </w:r>
    </w:p>
    <w:p>
      <w:pPr>
        <w:pStyle w:val="ListParagraph"/>
        <w:numPr>
          <w:ilvl w:val="0"/>
          <w:numId w:val="2"/>
        </w:numPr>
        <w:spacing w:after="60"/>
      </w:pPr>
      <w:r>
        <w:rPr>
          <w:b/>
          <w:bCs/>
        </w:rPr>
        <w:t xml:space="preserve">ICD-10 </w:t>
      </w:r>
      <w:r>
        <w:t xml:space="preserve">for diagnoses.</w:t>
      </w:r>
    </w:p>
    <w:p>
      <w:pPr>
        <w:spacing w:after="120" w:before="120"/>
      </w:pPr>
      <w:r>
        <w:t xml:space="preserve">Where the coding is incomplete, the "absent / unknown" codes still have to be given explicitly. This applies, for example, to the required sections: you must state "no known allergies" rather than leave the section empty.</w:t>
      </w:r>
    </w:p>
    <w:p>
      <w:pPr>
        <w:pStyle w:val="Heading1"/>
      </w:pPr>
      <w:r>
        <w:t xml:space="preserve">ICD-11 specifically</w:t>
      </w:r>
    </w:p>
    <w:p>
      <w:pPr>
        <w:spacing w:after="120"/>
      </w:pPr>
      <w:r>
        <w:t xml:space="preserve">A Finnish national briefing from June 2026 on the EHDS patient summary says the classification work includes a reservation for ICD-11 alongside ICD-10, with ICD-10 retained in EHDS. In practice this means:</w:t>
      </w:r>
    </w:p>
    <w:p>
      <w:pPr>
        <w:pStyle w:val="ListParagraph"/>
        <w:numPr>
          <w:ilvl w:val="0"/>
          <w:numId w:val="2"/>
        </w:numPr>
        <w:spacing w:after="60"/>
      </w:pPr>
      <w:r>
        <w:t xml:space="preserve">ICD-10 (or SNOMED CT) is the working code system for problems and diagnoses.</w:t>
      </w:r>
    </w:p>
    <w:p>
      <w:pPr>
        <w:pStyle w:val="ListParagraph"/>
        <w:numPr>
          <w:ilvl w:val="0"/>
          <w:numId w:val="2"/>
        </w:numPr>
        <w:spacing w:after="60"/>
      </w:pPr>
      <w:r>
        <w:t xml:space="preserve">ICD-11 is allowed alongside it, in preparation for a future transition.</w:t>
      </w:r>
    </w:p>
    <w:p>
      <w:pPr>
        <w:pStyle w:val="ListParagraph"/>
        <w:numPr>
          <w:ilvl w:val="0"/>
          <w:numId w:val="2"/>
        </w:numPr>
        <w:spacing w:after="60"/>
      </w:pPr>
      <w:r>
        <w:t xml:space="preserve">Orphacodes are added for rare diseases.</w:t>
      </w:r>
    </w:p>
    <w:p>
      <w:pPr>
        <w:pStyle w:val="Heading1"/>
      </w:pPr>
      <w:r>
        <w:t xml:space="preserve">Legal status</w:t>
      </w:r>
    </w:p>
    <w:p>
      <w:pPr>
        <w:spacing w:after="120"/>
      </w:pPr>
      <w:r>
        <w:t xml:space="preserve">The EHDS Regulation has been in force since March 2025. By 26 March 2027 the Commission must adopt implementing acts with the detailed technical specifications for the exchange format (EEHRxF). The Finnish briefing expected the patient summary format act around September 2026, with a member-state vote on classifications on 11 June 2026. Whether it has been formally adopted had not been confirmed at the time of writing (October 2026), so check the final act text before relying on exact code-system obligations.</w:t>
      </w:r>
    </w:p>
    <w:p>
      <w:pPr>
        <w:pStyle w:val="Heading1"/>
      </w:pPr>
      <w:r>
        <w:t xml:space="preserve">Sources</w:t>
      </w:r>
    </w:p>
    <w:p>
      <w:pPr>
        <w:pStyle w:val="ListParagraph"/>
        <w:numPr>
          <w:ilvl w:val="0"/>
          <w:numId w:val="2"/>
        </w:numPr>
        <w:spacing w:after="60"/>
      </w:pPr>
      <w:hyperlink w:history="1" r:id="rIdnooocr0dxce22rb8blztm">
        <w:r>
          <w:rPr>
            <w:rStyle w:val="Hyperlink"/>
          </w:rPr>
          <w:t xml:space="preserve">EHDS Patient Summary briefing (Innokylä, June 2026)</w:t>
        </w:r>
      </w:hyperlink>
    </w:p>
    <w:p>
      <w:pPr>
        <w:pStyle w:val="ListParagraph"/>
        <w:numPr>
          <w:ilvl w:val="0"/>
          <w:numId w:val="2"/>
        </w:numPr>
        <w:spacing w:after="60"/>
      </w:pPr>
      <w:hyperlink w:history="1" r:id="rIdtqyf6incyxj6lrlma5msz">
        <w:r>
          <w:rPr>
            <w:rStyle w:val="Hyperlink"/>
          </w:rPr>
          <w:t xml:space="preserve">HL7 Europe Patient Summary – EHDS logical models</w:t>
        </w:r>
      </w:hyperlink>
    </w:p>
    <w:p>
      <w:pPr>
        <w:pStyle w:val="ListParagraph"/>
        <w:numPr>
          <w:ilvl w:val="0"/>
          <w:numId w:val="2"/>
        </w:numPr>
        <w:spacing w:after="60"/>
      </w:pPr>
      <w:hyperlink w:history="1" r:id="rIdtgh6k8suvbo-hsduea4vd">
        <w:r>
          <w:rPr>
            <w:rStyle w:val="Hyperlink"/>
          </w:rPr>
          <w:t xml:space="preserve">Xt-EHR EHDSPatientSummary definitions</w:t>
        </w:r>
      </w:hyperlink>
    </w:p>
    <w:p>
      <w:pPr>
        <w:pStyle w:val="ListParagraph"/>
        <w:numPr>
          <w:ilvl w:val="0"/>
          <w:numId w:val="2"/>
        </w:numPr>
        <w:spacing w:after="60"/>
      </w:pPr>
      <w:hyperlink w:history="1" r:id="rIduvwm8knwqbbneac-hp4h-">
        <w:r>
          <w:rPr>
            <w:rStyle w:val="Hyperlink"/>
          </w:rPr>
          <w:t xml:space="preserve">Frontiers in Medicine – EEHRxF and EHDS timeline</w:t>
        </w:r>
      </w:hyperlink>
    </w:p>
    <w:p>
      <w:pPr>
        <w:pStyle w:val="ListParagraph"/>
        <w:numPr>
          <w:ilvl w:val="0"/>
          <w:numId w:val="2"/>
        </w:numPr>
        <w:spacing w:after="60"/>
      </w:pPr>
      <w:hyperlink w:history="1" r:id="rIdjypxzxn_-m5l8npuv6m6u">
        <w:r>
          <w:rPr>
            <w:rStyle w:val="Hyperlink"/>
          </w:rPr>
          <w:t xml:space="preserve">PMC – Assessment of the European Patient Summary</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864"/>
      <w:sz w:val="40"/>
      <w:szCs w:val="40"/>
    </w:rPr>
  </w:style>
  <w:style w:type="paragraph" w:styleId="Heading1">
    <w:name w:val="Heading 1"/>
    <w:basedOn w:val="Normal"/>
    <w:next w:val="Normal"/>
    <w:qFormat/>
    <w:pPr>
      <w:spacing w:after="120" w:before="30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ooocr0dxce22rb8blztm" Type="http://schemas.openxmlformats.org/officeDocument/2006/relationships/hyperlink" Target="https://www.innokyla.fi/sites/default/files/2026-06/EHDS%20Patient%20Summary%20ja%20Tiedonhallinta-palvelun%20keskeiset%20terveystiedot%20-esitys.pdf" TargetMode="External"/><Relationship Id="rIdtqyf6incyxj6lrlma5msz" Type="http://schemas.openxmlformats.org/officeDocument/2006/relationships/hyperlink" Target="https://hl7.eu/fhir/eps/logicalmodels.html" TargetMode="External"/><Relationship Id="rIdtgh6k8suvbo-hsduea4vd" Type="http://schemas.openxmlformats.org/officeDocument/2006/relationships/hyperlink" Target="https://build.fhir.org/ig/Xt-EHR/xt-ehr-common/en/StructureDefinition-EHDSPatientSummary-definitions.html" TargetMode="External"/><Relationship Id="rIduvwm8knwqbbneac-hp4h-" Type="http://schemas.openxmlformats.org/officeDocument/2006/relationships/hyperlink" Target="https://www.frontiersin.org/journals/medicine/articles/10.3389/fmed.2025.1648170/full" TargetMode="External"/><Relationship Id="rIdjypxzxn_-m5l8npuv6m6u" Type="http://schemas.openxmlformats.org/officeDocument/2006/relationships/hyperlink" Target="https://pmc.ncbi.nlm.nih.gov/articles/PMC11580750"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Patient Summary: headers, structure and ICD-11</dc:title>
  <dc:creator>Claude</dc:creator>
  <cp:lastModifiedBy>Un-named</cp:lastModifiedBy>
  <cp:revision>1</cp:revision>
  <dcterms:created xsi:type="dcterms:W3CDTF">2026-10-07T13:39:48.475Z</dcterms:created>
  <dcterms:modified xsi:type="dcterms:W3CDTF">2026-10-07T13:39:48.484Z</dcterms:modified>
</cp:coreProperties>
</file>

<file path=docProps/custom.xml><?xml version="1.0" encoding="utf-8"?>
<Properties xmlns="http://schemas.openxmlformats.org/officeDocument/2006/custom-properties" xmlns:vt="http://schemas.openxmlformats.org/officeDocument/2006/docPropsVTypes"/>
</file>