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Can a terminology-bound PlanDef generate its own openEHR template? — response memo</w:t>
      </w:r>
    </w:p>
    <w:p>
      <w:pPr>
        <w:pStyle w:val="Author"/>
      </w:pPr>
      <w:r>
        <w:t xml:space="preserve">PDHC platform / rosetta.pdhc</w:t>
      </w:r>
    </w:p>
    <w:p>
      <w:pPr>
        <w:pStyle w:val="Date"/>
      </w:pPr>
      <w:r>
        <w:t xml:space="preserve">2026-07-30</w:t>
      </w:r>
    </w:p>
    <w:bookmarkStart w:id="9" w:name="the-question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Can a</w:t>
      </w:r>
      <w:r>
        <w:t xml:space="preserve"> </w:t>
      </w:r>
      <w:r>
        <w:rPr>
          <w:rStyle w:val="VerbatimChar"/>
        </w:rPr>
        <w:t xml:space="preserve">PlanDefinition</w:t>
      </w:r>
      <w:r>
        <w:t xml:space="preserve"> </w:t>
      </w:r>
      <w:r>
        <w:t xml:space="preserve">with full terminology binding automatically generate</w:t>
      </w:r>
      <w:r>
        <w:t xml:space="preserve"> </w:t>
      </w:r>
      <w:r>
        <w:t xml:space="preserve">the openEHR operational template (.opt) that receives its own data — so the</w:t>
      </w:r>
      <w:r>
        <w:t xml:space="preserve"> </w:t>
      </w:r>
      <w:r>
        <w:t xml:space="preserve">CDR is built from the same source of truth that defines the data?</w:t>
      </w:r>
    </w:p>
    <w:bookmarkEnd w:id="9"/>
    <w:bookmarkStart w:id="10" w:name="the-verdict"/>
    <w:p>
      <w:pPr>
        <w:pStyle w:val="Heading2"/>
      </w:pPr>
      <w:r>
        <w:t xml:space="preserve">The verdict</w:t>
      </w:r>
    </w:p>
    <w:p>
      <w:pPr>
        <w:pStyle w:val="FirstParagraph"/>
      </w:pPr>
      <w:r>
        <w:rPr>
          <w:b/>
          <w:bCs/>
        </w:rPr>
        <w:t xml:space="preserve">Yes, and it’s worth doing — but with one reframe.</w:t>
      </w:r>
    </w:p>
    <w:p>
      <w:pPr>
        <w:pStyle w:val="BodyText"/>
      </w:pPr>
      <w:r>
        <w:t xml:space="preserve">A PlanDef gives you the</w:t>
      </w:r>
      <w:r>
        <w:t xml:space="preserve"> </w:t>
      </w:r>
      <w:r>
        <w:rPr>
          <w:b/>
          <w:bCs/>
        </w:rPr>
        <w:t xml:space="preserve">slots and bindings, not the archetypes.</w:t>
      </w:r>
    </w:p>
    <w:p>
      <w:pPr>
        <w:pStyle w:val="Compact"/>
        <w:numPr>
          <w:ilvl w:val="0"/>
          <w:numId w:val="1001"/>
        </w:numPr>
      </w:pPr>
      <w:r>
        <w:t xml:space="preserve">What a concept</w:t>
      </w:r>
      <w:r>
        <w:t xml:space="preserve"> </w:t>
      </w:r>
      <w:r>
        <w:rPr>
          <w:i/>
          <w:iCs/>
        </w:rPr>
        <w:t xml:space="preserve">already knows</w:t>
      </w:r>
      <w:r>
        <w:t xml:space="preserve"> </w:t>
      </w:r>
      <w:r>
        <w:t xml:space="preserve">— concept GUID, display unit,</w:t>
      </w:r>
      <w:r>
        <w:t xml:space="preserve"> </w:t>
      </w:r>
      <w:r>
        <w:rPr>
          <w:rStyle w:val="VerbatimChar"/>
        </w:rPr>
        <w:t xml:space="preserve">response_type</w:t>
      </w:r>
      <w:r>
        <w:t xml:space="preserve">,</w:t>
      </w:r>
      <w:r>
        <w:t xml:space="preserve"> </w:t>
      </w:r>
      <w:r>
        <w:t xml:space="preserve">and the LOINC/SNOMED code (</w:t>
      </w:r>
      <w:r>
        <w:rPr>
          <w:rStyle w:val="VerbatimChar"/>
        </w:rPr>
        <w:t xml:space="preserve">canonical_lib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canonical_refnumber</w:t>
      </w:r>
      <w:r>
        <w:t xml:space="preserve">) — is</w:t>
      </w:r>
      <w:r>
        <w:t xml:space="preserve"> </w:t>
      </w:r>
      <w:r>
        <w:t xml:space="preserve">roughly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of what a template slot needs, and that part is automatable.</w:t>
      </w:r>
    </w:p>
    <w:p>
      <w:pPr>
        <w:pStyle w:val="Compact"/>
        <w:numPr>
          <w:ilvl w:val="0"/>
          <w:numId w:val="1001"/>
        </w:numPr>
      </w:pPr>
      <w:r>
        <w:t xml:space="preserve">What it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know is</w:t>
      </w:r>
      <w:r>
        <w:t xml:space="preserve"> </w:t>
      </w:r>
      <w:r>
        <w:rPr>
          <w:b/>
          <w:bCs/>
        </w:rPr>
        <w:t xml:space="preserve">which openEHR archetype</w:t>
      </w:r>
      <w:r>
        <w:t xml:space="preserve"> </w:t>
      </w:r>
      <w:r>
        <w:t xml:space="preserve">a concept belongs to</w:t>
      </w:r>
      <w:r>
        <w:t xml:space="preserve"> </w:t>
      </w:r>
      <w:r>
        <w:t xml:space="preserve">(that systolic lives in</w:t>
      </w:r>
      <w:r>
        <w:t xml:space="preserve"> </w:t>
      </w:r>
      <w:r>
        <w:rPr>
          <w:rStyle w:val="VerbatimChar"/>
        </w:rPr>
        <w:t xml:space="preserve">blood_pressure.v2</w:t>
      </w:r>
      <w:r>
        <w:t xml:space="preserve">, sharing an EVENT with</w:t>
      </w:r>
      <w:r>
        <w:t xml:space="preserve"> </w:t>
      </w:r>
      <w:r>
        <w:t xml:space="preserve">diastolic). openEHR models by</w:t>
      </w:r>
      <w:r>
        <w:t xml:space="preserve"> </w:t>
      </w:r>
      <w:r>
        <w:rPr>
          <w:b/>
          <w:bCs/>
        </w:rPr>
        <w:t xml:space="preserve">archetype</w:t>
      </w:r>
      <w:r>
        <w:t xml:space="preserve">; PDHC models by</w:t>
      </w:r>
      <w:r>
        <w:t xml:space="preserve"> </w:t>
      </w:r>
      <w:r>
        <w:rPr>
          <w:b/>
          <w:bCs/>
        </w:rPr>
        <w:t xml:space="preserve">concept</w:t>
      </w:r>
      <w:r>
        <w:t xml:space="preserve">.</w:t>
      </w:r>
      <w:r>
        <w:t xml:space="preserve"> </w:t>
      </w:r>
      <w:r>
        <w:t xml:space="preserve">That mapping is the one irreducibly manual bit.</w:t>
      </w:r>
    </w:p>
    <w:bookmarkEnd w:id="10"/>
    <w:bookmarkStart w:id="11" w:name="why-the-reframe-makes-it-cheap"/>
    <w:p>
      <w:pPr>
        <w:pStyle w:val="Heading2"/>
      </w:pPr>
      <w:r>
        <w:t xml:space="preserve">Why the reframe makes it cheap</w:t>
      </w:r>
    </w:p>
    <w:p>
      <w:pPr>
        <w:pStyle w:val="FirstParagraph"/>
      </w:pPr>
      <w:r>
        <w:t xml:space="preserve">The manual bit is</w:t>
      </w:r>
      <w:r>
        <w:t xml:space="preserve"> </w:t>
      </w:r>
      <w:r>
        <w:rPr>
          <w:b/>
          <w:bCs/>
        </w:rPr>
        <w:t xml:space="preserve">one curation step per concept, ever — not per PlanDef</w:t>
      </w:r>
      <w:r>
        <w:t xml:space="preserve"> </w:t>
      </w:r>
      <w:r>
        <w:t xml:space="preserve">—</w:t>
      </w:r>
      <w:r>
        <w:t xml:space="preserve"> </w:t>
      </w:r>
      <w:r>
        <w:t xml:space="preserve">because PDHC concepts are global GUIDs. Bind a concept to an archetype path</w:t>
      </w:r>
      <w:r>
        <w:t xml:space="preserve"> </w:t>
      </w:r>
      <w:r>
        <w:t xml:space="preserve">once and every future PlanDef that uses it inherits the binding. So template</w:t>
      </w:r>
      <w:r>
        <w:t xml:space="preserve"> </w:t>
      </w:r>
      <w:r>
        <w:t xml:space="preserve">authoring stops being a bespoke modelling project and becomes:</w:t>
      </w:r>
      <w:r>
        <w:t xml:space="preserve"> </w:t>
      </w:r>
      <w:r>
        <w:rPr>
          <w:i/>
          <w:iCs/>
        </w:rPr>
        <w:t xml:space="preserve">curate new</w:t>
      </w:r>
      <w:r>
        <w:rPr>
          <w:i/>
          <w:iCs/>
        </w:rPr>
        <w:t xml:space="preserve"> </w:t>
      </w:r>
      <w:r>
        <w:rPr>
          <w:i/>
          <w:iCs/>
        </w:rPr>
        <w:t xml:space="preserve">concepts as they appear, then regenerate.</w:t>
      </w:r>
      <w:r>
        <w:t xml:space="preserve"> </w:t>
      </w:r>
      <w:r>
        <w:t xml:space="preserve">A fail-loud generator turns any</w:t>
      </w:r>
      <w:r>
        <w:t xml:space="preserve"> </w:t>
      </w:r>
      <w:r>
        <w:t xml:space="preserve">coverage gap into a visible worklist instead of silent wrongness.</w:t>
      </w:r>
    </w:p>
    <w:bookmarkEnd w:id="11"/>
    <w:bookmarkStart w:id="12" w:name="X911fcd98006fb5a2ab7bb72177e620b331f400b"/>
    <w:p>
      <w:pPr>
        <w:pStyle w:val="Heading2"/>
      </w:pPr>
      <w:r>
        <w:t xml:space="preserve">What already exists (this session’s #503/#504 work)</w:t>
      </w:r>
    </w:p>
    <w:p>
      <w:pPr>
        <w:pStyle w:val="FirstParagraph"/>
      </w:pPr>
      <w:r>
        <w:t xml:space="preserve">The bottom two-thirds of the pipeline is</w:t>
      </w:r>
      <w:r>
        <w:t xml:space="preserve"> </w:t>
      </w:r>
      <w:r>
        <w:rPr>
          <w:b/>
          <w:bCs/>
        </w:rPr>
        <w:t xml:space="preserve">built and tested (53 passing)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concept → path registry (</w:t>
      </w:r>
      <w:r>
        <w:rPr>
          <w:rStyle w:val="VerbatimChar"/>
        </w:rPr>
        <w:t xml:space="preserve">templates/pdhc_concept_map.json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resolver (</w:t>
      </w:r>
      <w:r>
        <w:rPr>
          <w:rStyle w:val="VerbatimChar"/>
        </w:rPr>
        <w:t xml:space="preserve">app/services/concept_map.py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FLAT composition emitter (</w:t>
      </w:r>
      <w:r>
        <w:rPr>
          <w:rStyle w:val="VerbatimChar"/>
        </w:rPr>
        <w:t xml:space="preserve">app/services/flat_emitter.py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 proven archetype set (</w:t>
      </w:r>
      <w:r>
        <w:rPr>
          <w:rStyle w:val="VerbatimChar"/>
        </w:rPr>
        <w:t xml:space="preserve">templates/pdhc_vitals.v1.opt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 round-trip validator (</w:t>
      </w:r>
      <w:r>
        <w:rPr>
          <w:rStyle w:val="VerbatimChar"/>
        </w:rPr>
        <w:t xml:space="preserve">scripts/sandbox_roundtrip.py</w:t>
      </w:r>
      <w:r>
        <w:t xml:space="preserve">)</w:t>
      </w:r>
    </w:p>
    <w:p>
      <w:pPr>
        <w:pStyle w:val="FirstParagraph"/>
      </w:pPr>
      <w:r>
        <w:t xml:space="preserve">Missing: a</w:t>
      </w:r>
      <w:r>
        <w:t xml:space="preserve"> </w:t>
      </w:r>
      <w:r>
        <w:rPr>
          <w:b/>
          <w:bCs/>
        </w:rPr>
        <w:t xml:space="preserve">PlanDef concept-set reader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template synthesiser</w:t>
      </w:r>
      <w:r>
        <w:t xml:space="preserve">.</w:t>
      </w:r>
    </w:p>
    <w:bookmarkEnd w:id="12"/>
    <w:bookmarkStart w:id="13" w:name="the-path-if-pursued"/>
    <w:p>
      <w:pPr>
        <w:pStyle w:val="Heading2"/>
      </w:pPr>
      <w:r>
        <w:t xml:space="preserve">The path, if pursued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A</w:t>
      </w:r>
      <w:r>
        <w:t xml:space="preserve"> </w:t>
      </w:r>
      <w:r>
        <w:t xml:space="preserve">— promote the concept map to an authoritative registry (pure</w:t>
      </w:r>
      <w:r>
        <w:t xml:space="preserve"> </w:t>
      </w:r>
      <w:r>
        <w:t xml:space="preserve">data, low-risk).</w:t>
      </w:r>
      <w:r>
        <w:t xml:space="preserve"> </w:t>
      </w:r>
      <w:r>
        <w:rPr>
          <w:i/>
          <w:iCs/>
        </w:rPr>
        <w:t xml:space="preserve">Natural first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B</w:t>
      </w:r>
      <w:r>
        <w:t xml:space="preserve"> </w:t>
      </w:r>
      <w:r>
        <w:t xml:space="preserve">— read a PlanDef’s bound concept set from plan.pdhc (read-only).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C</w:t>
      </w:r>
      <w:r>
        <w:t xml:space="preserve"> </w:t>
      </w:r>
      <w:r>
        <w:t xml:space="preserve">— synthesise a template from registry rows, upload to the CDR,</w:t>
      </w:r>
      <w:r>
        <w:t xml:space="preserve"> </w:t>
      </w:r>
      <w:r>
        <w:t xml:space="preserve">and diff the returned web template against expected FLAT paths.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D</w:t>
      </w:r>
      <w:r>
        <w:t xml:space="preserve"> </w:t>
      </w:r>
      <w:r>
        <w:t xml:space="preserve">— gate on</w:t>
      </w:r>
      <w:r>
        <w:t xml:space="preserve"> </w:t>
      </w:r>
      <w:r>
        <w:rPr>
          <w:b/>
          <w:bCs/>
        </w:rPr>
        <w:t xml:space="preserve">curation, not modelling</w:t>
      </w:r>
      <w:r>
        <w:t xml:space="preserve">: an unmapped concept</w:t>
      </w:r>
      <w:r>
        <w:t xml:space="preserve"> </w:t>
      </w:r>
      <w:r>
        <w:t xml:space="preserve">fails loudly with a one-time bind step; never auto-author new archetypes.</w:t>
      </w:r>
    </w:p>
    <w:bookmarkEnd w:id="13"/>
    <w:bookmarkStart w:id="14" w:name="honest-caveats"/>
    <w:p>
      <w:pPr>
        <w:pStyle w:val="Heading2"/>
      </w:pPr>
      <w:r>
        <w:t xml:space="preserve">Honest caveats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“full binding”</w:t>
      </w:r>
      <w:r>
        <w:t xml:space="preserve"> </w:t>
      </w:r>
      <w:r>
        <w:t xml:space="preserve">premise must actually hold — today only ~31% of</w:t>
      </w:r>
      <w:r>
        <w:t xml:space="preserve"> </w:t>
      </w:r>
      <w:r>
        <w:t xml:space="preserve">Synthea-mapped observations resolve to curated concepts;</w:t>
      </w:r>
      <w:r>
        <w:t xml:space="preserve"> </w:t>
      </w:r>
      <w:r>
        <w:rPr>
          <w:b/>
          <w:bCs/>
        </w:rPr>
        <w:t xml:space="preserve">registry coverage</w:t>
      </w:r>
      <w:r>
        <w:rPr>
          <w:b/>
          <w:bCs/>
        </w:rPr>
        <w:t xml:space="preserve"> </w:t>
      </w:r>
      <w:r>
        <w:rPr>
          <w:b/>
          <w:bCs/>
        </w:rPr>
        <w:t xml:space="preserve">is the real gating metric.</w:t>
      </w:r>
    </w:p>
    <w:p>
      <w:pPr>
        <w:pStyle w:val="Compact"/>
        <w:numPr>
          <w:ilvl w:val="0"/>
          <w:numId w:val="1004"/>
        </w:numPr>
      </w:pPr>
      <w:r>
        <w:t xml:space="preserve">UCUM is a</w:t>
      </w:r>
      <w:r>
        <w:t xml:space="preserve"> </w:t>
      </w:r>
      <w:r>
        <w:rPr>
          <w:b/>
          <w:bCs/>
        </w:rPr>
        <w:t xml:space="preserve">translation, not a passthrough</w:t>
      </w:r>
      <w:r>
        <w:t xml:space="preserve"> </w:t>
      </w:r>
      <w:r>
        <w:t xml:space="preserve">(mmHg → mm[Hg]); a missing</w:t>
      </w:r>
      <w:r>
        <w:t xml:space="preserve"> </w:t>
      </w:r>
      <w:r>
        <w:t xml:space="preserve">UCUM row must fail loudly.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Pin</w:t>
      </w:r>
      <w:r>
        <w:t xml:space="preserve"> </w:t>
      </w:r>
      <w:r>
        <w:t xml:space="preserve">archetype versions for reproducibility.</w:t>
      </w:r>
    </w:p>
    <w:p>
      <w:pPr>
        <w:pStyle w:val="Compact"/>
        <w:numPr>
          <w:ilvl w:val="0"/>
          <w:numId w:val="1004"/>
        </w:numPr>
      </w:pPr>
      <w:r>
        <w:t xml:space="preserve">A structurally-valid template can still be</w:t>
      </w:r>
      <w:r>
        <w:t xml:space="preserve"> </w:t>
      </w:r>
      <w:r>
        <w:rPr>
          <w:b/>
          <w:bCs/>
        </w:rPr>
        <w:t xml:space="preserve">clinically</w:t>
      </w:r>
      <w:r>
        <w:t xml:space="preserve"> </w:t>
      </w:r>
      <w:r>
        <w:t xml:space="preserve">wrong — the</w:t>
      </w:r>
      <w:r>
        <w:t xml:space="preserve"> </w:t>
      </w:r>
      <w:r>
        <w:t xml:space="preserve">archetype choice stays a reviewed artefact, not an auto-merge (MDR posture).</w:t>
      </w:r>
    </w:p>
    <w:bookmarkEnd w:id="14"/>
    <w:bookmarkStart w:id="1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Pursue it as</w:t>
      </w:r>
      <w:r>
        <w:t xml:space="preserve"> </w:t>
      </w:r>
      <w:r>
        <w:rPr>
          <w:i/>
          <w:iCs/>
        </w:rPr>
        <w:t xml:space="preserve">“concept→archetype registry + synthesiser,”</w:t>
      </w:r>
      <w:r>
        <w:t xml:space="preserve"> </w:t>
      </w:r>
      <w:r>
        <w:t xml:space="preserve">not as</w:t>
      </w:r>
      <w:r>
        <w:t xml:space="preserve"> </w:t>
      </w:r>
      <w:r>
        <w:rPr>
          <w:i/>
          <w:iCs/>
        </w:rPr>
        <w:t xml:space="preserve">“PlanDef</w:t>
      </w:r>
      <w:r>
        <w:rPr>
          <w:i/>
          <w:iCs/>
        </w:rPr>
        <w:t xml:space="preserve"> </w:t>
      </w:r>
      <w:r>
        <w:rPr>
          <w:i/>
          <w:iCs/>
        </w:rPr>
        <w:t xml:space="preserve">magically emits a template.”</w:t>
      </w:r>
      <w:r>
        <w:t xml:space="preserve"> </w:t>
      </w:r>
      <w:r>
        <w:t xml:space="preserve">The automatable 80% is already built; the</w:t>
      </w:r>
      <w:r>
        <w:t xml:space="preserve"> </w:t>
      </w:r>
      <w:r>
        <w:t xml:space="preserve">remaining 20% becomes a reusable per-concept curation step. A PlanDef whose</w:t>
      </w:r>
      <w:r>
        <w:t xml:space="preserve"> </w:t>
      </w:r>
      <w:r>
        <w:t xml:space="preserve">concepts are all curated then gets its openEHR template for free and stays in</w:t>
      </w:r>
      <w:r>
        <w:t xml:space="preserve"> </w:t>
      </w:r>
      <w:r>
        <w:t xml:space="preserve">sync with its own terminology binding — which is exactly the end-to-end goal.</w:t>
      </w:r>
    </w:p>
    <w:p>
      <w:pPr>
        <w:pStyle w:val="BodyText"/>
      </w:pPr>
      <w:r>
        <w:rPr>
          <w:i/>
          <w:iCs/>
        </w:rPr>
        <w:t xml:space="preserve">Full detail: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docs/plandef_to_openehr_template.md</w:t>
      </w:r>
      <w:r>
        <w:rPr>
          <w:i/>
          <w:iCs/>
        </w:rPr>
        <w:t xml:space="preserve">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a terminology-bound PlanDef generate its own openEHR template? — response memo</dc:title>
  <dc:creator>PDHC platform / rosetta.pdhc</dc:creator>
  <cp:keywords/>
  <dcterms:created xsi:type="dcterms:W3CDTF">2026-07-30T21:54:11Z</dcterms:created>
  <dcterms:modified xsi:type="dcterms:W3CDTF">2026-07-30T21:54:11Z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</vt:lpwstr>
  </property>
</Properties>
</file>