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SSO External Partners — Plan</w:t>
      </w:r>
    </w:p>
    <w:p/>
    <w:p>
      <w:r>
        <w:t xml:space="preserve">A workflow for registering </w:t>
      </w:r>
      <w:r>
        <w:rPr>
          <w:b/>
        </w:rPr>
        <w:t>external</w:t>
      </w:r>
      <w:r>
        <w:t xml:space="preserve"> organisations (third parties, integrators, regional health authorities, vendors) as authenticated callers of the PDHC platform, with their relationships referenced from FHIR Contracts in </w:t>
      </w:r>
      <w:r>
        <w:rPr>
          <w:rFonts w:ascii="Consolas" w:hAnsi="Consolas"/>
          <w:sz w:val="20"/>
        </w:rPr>
        <w:t>contract.pdhc</w:t>
      </w:r>
      <w:r>
        <w:t>.</w:t>
      </w:r>
    </w:p>
    <w:p/>
    <w:p>
      <w:r>
        <w:t xml:space="preserve">This plan covers schema, admin UI, auth integration, contract pointers, and rollout. </w:t>
      </w:r>
      <w:r>
        <w:rPr>
          <w:b/>
        </w:rPr>
        <w:t>No code is written until the operator approves.</w:t>
      </w:r>
    </w:p>
    <w:p/>
    <w:p>
      <w:pPr>
        <w:spacing w:before="120" w:after="120"/>
        <w:jc w:val="center"/>
      </w:pPr>
      <w:r>
        <w:rPr>
          <w:color w:val="CCCCCC"/>
        </w:rPr>
        <w:t>────────────────────────────────────────</w:t>
      </w:r>
    </w:p>
    <w:p/>
    <w:p>
      <w:pPr>
        <w:pStyle w:val="Heading1"/>
      </w:pPr>
      <w:r>
        <w:t>1) Scope and goals</w:t>
      </w:r>
    </w:p>
    <w:p/>
    <w:p>
      <w:pPr>
        <w:pStyle w:val="Heading2"/>
      </w:pPr>
      <w:r>
        <w:t>1.1 What this plan delivers</w:t>
      </w:r>
    </w:p>
    <w:p/>
    <w:p>
      <w:pPr>
        <w:pStyle w:val="ListBullet"/>
      </w:pPr>
      <w:r>
        <w:t xml:space="preserve">A </w:t>
      </w:r>
      <w:r>
        <w:rPr>
          <w:b/>
        </w:rPr>
        <w:t>Partner</w:t>
      </w:r>
      <w:r>
        <w:t xml:space="preserve"> entity inside </w:t>
      </w:r>
      <w:r>
        <w:rPr>
          <w:rFonts w:ascii="Consolas" w:hAnsi="Consolas"/>
          <w:sz w:val="20"/>
        </w:rPr>
        <w:t>sso.pdhc</w:t>
      </w:r>
      <w:r>
        <w:t xml:space="preserve"> (DB table + ORM model) that represents an external organisation registered to call PDHC services.</w:t>
      </w:r>
    </w:p>
    <w:p>
      <w:pPr>
        <w:pStyle w:val="ListBullet"/>
      </w:pPr>
      <w:r>
        <w:t xml:space="preserve">A </w:t>
      </w:r>
      <w:r>
        <w:rPr>
          <w:b/>
        </w:rPr>
        <w:t>SU-only admin page</w:t>
      </w:r>
      <w:r>
        <w:t xml:space="preserve"> (</w:t>
      </w:r>
      <w:r>
        <w:rPr>
          <w:rFonts w:ascii="Consolas" w:hAnsi="Consolas"/>
          <w:sz w:val="20"/>
        </w:rPr>
        <w:t>/admin/partners</w:t>
      </w:r>
      <w:r>
        <w:t>) for operators to register, edit, rotate credentials, and revoke access for partners.</w:t>
      </w:r>
    </w:p>
    <w:p>
      <w:pPr>
        <w:pStyle w:val="ListBullet"/>
      </w:pPr>
      <w:r>
        <w:t xml:space="preserve">A stable </w:t>
      </w:r>
      <w:r>
        <w:rPr>
          <w:b/>
        </w:rPr>
        <w:t>`partner_guid`</w:t>
      </w:r>
      <w:r>
        <w:t xml:space="preserve"> that </w:t>
      </w:r>
      <w:r>
        <w:rPr>
          <w:rFonts w:ascii="Consolas" w:hAnsi="Consolas"/>
          <w:sz w:val="20"/>
        </w:rPr>
        <w:t>contract.pdhc</w:t>
      </w:r>
      <w:r>
        <w:t xml:space="preserve"> references inside FHIR Contract resources, so a Contract has a clean machine-readable pointer to "who this contract is with".</w:t>
      </w:r>
    </w:p>
    <w:p>
      <w:pPr>
        <w:pStyle w:val="ListBullet"/>
      </w:pPr>
      <w:r>
        <w:t xml:space="preserve">A </w:t>
      </w:r>
      <w:r>
        <w:rPr>
          <w:b/>
        </w:rPr>
        <w:t>fix for the broken Service Key Management</w:t>
      </w:r>
      <w:r>
        <w:t xml:space="preserve"> UI noted in the screenshot (currently emits "No keyed services configured. Set KEYAUTH_SERVICE_</w:t>
      </w:r>
      <w:r>
        <w:rPr>
          <w:i/>
        </w:rPr>
        <w:t>_URL and KEYAUTH_SERVICE_</w:t>
      </w:r>
      <w:r>
        <w:t>_KEY in .env." on every load because nothing wires those env vars).</w:t>
      </w:r>
    </w:p>
    <w:p/>
    <w:p>
      <w:pPr>
        <w:pStyle w:val="Heading2"/>
      </w:pPr>
      <w:r>
        <w:t>1.2 Non-goals</w:t>
      </w:r>
    </w:p>
    <w:p/>
    <w:p>
      <w:pPr>
        <w:pStyle w:val="ListBullet"/>
      </w:pPr>
      <w:r>
        <w:t xml:space="preserve">A CRM with notes / billing / SLA tracking. If that's needed, partners eventually splits into its own service. SSO stays the system-of-record for </w:t>
      </w:r>
      <w:r>
        <w:rPr>
          <w:b/>
        </w:rPr>
        <w:t>identity + license</w:t>
      </w:r>
      <w:r>
        <w:t>, nothing more.</w:t>
      </w:r>
    </w:p>
    <w:p>
      <w:pPr>
        <w:pStyle w:val="ListBullet"/>
      </w:pPr>
      <w:r>
        <w:t>Per-partner rate limiting, quota tracking, observability dashboards. Defer.</w:t>
      </w:r>
    </w:p>
    <w:p>
      <w:pPr>
        <w:pStyle w:val="ListBullet"/>
      </w:pPr>
      <w:r>
        <w:t>Self-service partner onboarding. Initial flow is SU-driven only.</w:t>
      </w:r>
    </w:p>
    <w:p>
      <w:pPr>
        <w:pStyle w:val="ListBullet"/>
      </w:pPr>
      <w:r>
        <w:t xml:space="preserve">Changing the existing </w:t>
      </w:r>
      <w:r>
        <w:rPr>
          <w:b/>
        </w:rPr>
        <w:t>internal</w:t>
      </w:r>
      <w:r>
        <w:t xml:space="preserve"> Service Registry table (the public.html / sso.pdhc dashboard table). That stays as-is — internal services are a different shape.</w:t>
      </w:r>
    </w:p>
    <w:p/>
    <w:p>
      <w:pPr>
        <w:pStyle w:val="Heading2"/>
      </w:pPr>
      <w:r>
        <w:t>1.3 Why SSO and not a new service</w:t>
      </w:r>
    </w:p>
    <w:p/>
    <w:p>
      <w:pPr>
        <w:pStyle w:val="ListBullet"/>
      </w:pPr>
      <w:r>
        <w:t>Identity (who is allowed to call us) belongs in the auth authority. Splitting it across services creates two systems of truth.</w:t>
      </w:r>
    </w:p>
    <w:p>
      <w:pPr>
        <w:pStyle w:val="ListBullet"/>
      </w:pPr>
      <w:r>
        <w:t xml:space="preserve">The existing SSO request-loader at every PDHC service already validates </w:t>
      </w:r>
      <w:r>
        <w:rPr>
          <w:rFonts w:ascii="Consolas" w:hAnsi="Consolas"/>
          <w:sz w:val="20"/>
        </w:rPr>
        <w:t>X-Source-Service</w:t>
      </w:r>
      <w:r>
        <w:t xml:space="preserve"> + </w:t>
      </w:r>
      <w:r>
        <w:rPr>
          <w:rFonts w:ascii="Consolas" w:hAnsi="Consolas"/>
          <w:sz w:val="20"/>
        </w:rPr>
        <w:t>X-Service-Key</w:t>
      </w:r>
      <w:r>
        <w:t xml:space="preserve"> against </w:t>
      </w:r>
      <w:r>
        <w:rPr>
          <w:rFonts w:ascii="Consolas" w:hAnsi="Consolas"/>
          <w:sz w:val="20"/>
        </w:rPr>
        <w:t>sso.pdhc</w:t>
      </w:r>
      <w:r>
        <w:t xml:space="preserve">'s </w:t>
      </w:r>
      <w:r>
        <w:rPr>
          <w:rFonts w:ascii="Consolas" w:hAnsi="Consolas"/>
          <w:sz w:val="20"/>
        </w:rPr>
        <w:t>_&lt;SERVICE&gt;</w:t>
      </w:r>
      <w:r>
        <w:t xml:space="preserve"> map. Partners reuse that path — no new auth surface.</w:t>
      </w:r>
    </w:p>
    <w:p>
      <w:pPr>
        <w:pStyle w:val="ListBullet"/>
      </w:pPr>
      <w:r>
        <w:t xml:space="preserve">Separation between </w:t>
      </w:r>
      <w:r>
        <w:rPr>
          <w:b/>
        </w:rPr>
        <w:t>internal services</w:t>
      </w:r>
      <w:r>
        <w:t xml:space="preserve"> (the 13 services in the registry) and </w:t>
      </w:r>
      <w:r>
        <w:rPr>
          <w:b/>
        </w:rPr>
        <w:t>external partners</w:t>
      </w:r>
      <w:r>
        <w:t xml:space="preserve"> (third parties) is preserved by giving them different DB tables and different admin pages, while sharing the auth path.</w:t>
      </w:r>
    </w:p>
    <w:p/>
    <w:p>
      <w:pPr>
        <w:spacing w:before="120" w:after="120"/>
        <w:jc w:val="center"/>
      </w:pPr>
      <w:r>
        <w:rPr>
          <w:color w:val="CCCCCC"/>
        </w:rPr>
        <w:t>────────────────────────────────────────</w:t>
      </w:r>
    </w:p>
    <w:p/>
    <w:p>
      <w:pPr>
        <w:pStyle w:val="Heading1"/>
      </w:pPr>
      <w:r>
        <w:t>2) Current state</w:t>
      </w:r>
    </w:p>
    <w:p/>
    <w:p>
      <w:pPr>
        <w:pStyle w:val="Heading2"/>
      </w:pPr>
      <w:r>
        <w:t>2.1 What exists today</w:t>
      </w:r>
    </w:p>
    <w:p/>
    <w:p>
      <w:pPr>
        <w:pStyle w:val="ListBullet"/>
      </w:pPr>
      <w:r>
        <w:rPr>
          <w:b/>
        </w:rPr>
        <w:t>Internal Service Registry</w:t>
      </w:r>
      <w:r>
        <w:t xml:space="preserve"> — frontend-only table on </w:t>
      </w:r>
      <w:r>
        <w:rPr>
          <w:rFonts w:ascii="Consolas" w:hAnsi="Consolas"/>
          <w:sz w:val="20"/>
        </w:rPr>
        <w:t>/su/admin</w:t>
      </w:r>
      <w:r>
        <w:t xml:space="preserve"> rendering health probes for the 13 PDHC services. No DB table; the list is hardcoded in the template.</w:t>
      </w:r>
    </w:p>
    <w:p>
      <w:pPr>
        <w:pStyle w:val="ListBullet"/>
      </w:pPr>
      <w:r>
        <w:rPr>
          <w:b/>
        </w:rPr>
        <w:t>Service Key Management UI</w:t>
      </w:r>
      <w:r>
        <w:t xml:space="preserve"> — placeholder section that reads from </w:t>
      </w:r>
      <w:r>
        <w:rPr>
          <w:rFonts w:ascii="Consolas" w:hAnsi="Consolas"/>
          <w:sz w:val="20"/>
        </w:rPr>
        <w:t>KEYAUTH_SERVICE_*_URL</w:t>
      </w:r>
      <w:r>
        <w:t xml:space="preserve"> / </w:t>
      </w:r>
      <w:r>
        <w:rPr>
          <w:rFonts w:ascii="Consolas" w:hAnsi="Consolas"/>
          <w:sz w:val="20"/>
        </w:rPr>
        <w:t>_KEY</w:t>
      </w:r>
      <w:r>
        <w:t xml:space="preserve"> env-pairs in sso.pdhc's </w:t>
      </w:r>
      <w:r>
        <w:rPr>
          <w:rFonts w:ascii="Consolas" w:hAnsi="Consolas"/>
          <w:sz w:val="20"/>
        </w:rPr>
        <w:t>.env</w:t>
      </w:r>
      <w:r>
        <w:t>. Currently empty in production; the UI displays its empty-state message permanently.</w:t>
      </w:r>
    </w:p>
    <w:p>
      <w:pPr>
        <w:pStyle w:val="ListBullet"/>
      </w:pPr>
      <w:r>
        <w:rPr>
          <w:b/>
        </w:rPr>
        <w:t>SSO `User` model</w:t>
      </w:r>
      <w:r>
        <w:t xml:space="preserve"> — covers human users (professionals, patients, SU admins). No service-account model.</w:t>
      </w:r>
    </w:p>
    <w:p>
      <w:pPr>
        <w:pStyle w:val="ListBullet"/>
      </w:pPr>
      <w:r>
        <w:rPr>
          <w:b/>
        </w:rPr>
        <w:t>`contract.pdhc` `ContractRecord` model</w:t>
      </w:r>
      <w:r>
        <w:t xml:space="preserve"> — single table holding FHIR Contract resources as JSON (</w:t>
      </w:r>
      <w:r>
        <w:rPr>
          <w:rFonts w:ascii="Consolas" w:hAnsi="Consolas"/>
          <w:sz w:val="20"/>
        </w:rPr>
        <w:t>fhir_contract: JSONB</w:t>
      </w:r>
      <w:r>
        <w:t>). No referential link from Contract to any external organisation.</w:t>
      </w:r>
    </w:p>
    <w:p/>
    <w:p>
      <w:pPr>
        <w:pStyle w:val="Heading2"/>
      </w:pPr>
      <w:r>
        <w:t>2.2 What's missing</w:t>
      </w:r>
    </w:p>
    <w:p/>
    <w:p>
      <w:pPr>
        <w:pStyle w:val="ListBullet"/>
      </w:pPr>
      <w:r>
        <w:rPr>
          <w:b/>
        </w:rPr>
        <w:t>No DB row</w:t>
      </w:r>
      <w:r>
        <w:t xml:space="preserve"> anywhere on the platform that says "Partner X is allowed to call us, here is their credential, here are their allowed scopes".</w:t>
      </w:r>
    </w:p>
    <w:p>
      <w:pPr>
        <w:pStyle w:val="ListBullet"/>
      </w:pPr>
      <w:r>
        <w:rPr>
          <w:b/>
        </w:rPr>
        <w:t>No FHIR-clean way</w:t>
      </w:r>
      <w:r>
        <w:t xml:space="preserve"> for a Contract to reference "the external organisation this contract is with". Currently the JSON blob can carry whatever the operator types into </w:t>
      </w:r>
      <w:r>
        <w:rPr>
          <w:rFonts w:ascii="Consolas" w:hAnsi="Consolas"/>
          <w:sz w:val="20"/>
        </w:rPr>
        <w:t>signer[].party</w:t>
      </w:r>
      <w:r>
        <w:t>, but nothing validates or normalises it.</w:t>
      </w:r>
    </w:p>
    <w:p>
      <w:pPr>
        <w:pStyle w:val="ListBullet"/>
      </w:pPr>
      <w:r>
        <w:rPr>
          <w:b/>
        </w:rPr>
        <w:t>No rotation / revocation flow</w:t>
      </w:r>
      <w:r>
        <w:t xml:space="preserve"> for partner credentials.</w:t>
      </w:r>
    </w:p>
    <w:p/>
    <w:p>
      <w:pPr>
        <w:spacing w:before="120" w:after="120"/>
        <w:jc w:val="center"/>
      </w:pPr>
      <w:r>
        <w:rPr>
          <w:color w:val="CCCCCC"/>
        </w:rPr>
        <w:t>────────────────────────────────────────</w:t>
      </w:r>
    </w:p>
    <w:p/>
    <w:p>
      <w:pPr>
        <w:pStyle w:val="Heading1"/>
      </w:pPr>
      <w:r>
        <w:t>3) Data model</w:t>
      </w:r>
    </w:p>
    <w:p/>
    <w:p>
      <w:pPr>
        <w:pStyle w:val="Heading2"/>
      </w:pPr>
      <w:r>
        <w:t>3.1 New table: `external_partner`</w:t>
      </w:r>
    </w:p>
    <w:p/>
    <w:p>
      <w:r>
        <w:t xml:space="preserve">Lives in </w:t>
      </w:r>
      <w:r>
        <w:rPr>
          <w:rFonts w:ascii="Consolas" w:hAnsi="Consolas"/>
          <w:sz w:val="20"/>
        </w:rPr>
        <w:t>sso.pdhc</w:t>
      </w:r>
      <w:r>
        <w:t>'s database. Shape: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Column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Type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Notes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  <w:sz w:val="20"/>
              </w:rPr>
              <w:t>partner_guid</w:t>
            </w:r>
          </w:p>
        </w:tc>
        <w:tc>
          <w:tcPr>
            <w:tcW w:type="dxa" w:w="1728"/>
          </w:tcPr>
          <w:p>
            <w:r/>
            <w:r>
              <w:t>UUID v4</w:t>
            </w:r>
          </w:p>
        </w:tc>
        <w:tc>
          <w:tcPr>
            <w:tcW w:type="dxa" w:w="1728"/>
          </w:tcPr>
          <w:p>
            <w:r/>
            <w:r>
              <w:t>primary key, generated server-side, never reused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  <w:sz w:val="20"/>
              </w:rPr>
              <w:t>display_name</w:t>
            </w:r>
          </w:p>
        </w:tc>
        <w:tc>
          <w:tcPr>
            <w:tcW w:type="dxa" w:w="1728"/>
          </w:tcPr>
          <w:p>
            <w:r/>
            <w:r>
              <w:t>varchar(120)</w:t>
            </w:r>
          </w:p>
        </w:tc>
        <w:tc>
          <w:tcPr>
            <w:tcW w:type="dxa" w:w="1728"/>
          </w:tcPr>
          <w:p>
            <w:r/>
            <w:r>
              <w:t>human-readable label, e.g. "Region Stockholm Diabetes Registry"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  <w:sz w:val="20"/>
              </w:rPr>
              <w:t>org_number</w:t>
            </w:r>
          </w:p>
        </w:tc>
        <w:tc>
          <w:tcPr>
            <w:tcW w:type="dxa" w:w="1728"/>
          </w:tcPr>
          <w:p>
            <w:r/>
            <w:r>
              <w:t>varchar(32)</w:t>
            </w:r>
          </w:p>
        </w:tc>
        <w:tc>
          <w:tcPr>
            <w:tcW w:type="dxa" w:w="1728"/>
          </w:tcPr>
          <w:p>
            <w:r/>
            <w:r>
              <w:t>Swedish organisationsnummer or equivalent legal identifier; nullable for non-Swedish partners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  <w:sz w:val="20"/>
              </w:rPr>
              <w:t>country_code</w:t>
            </w:r>
          </w:p>
        </w:tc>
        <w:tc>
          <w:tcPr>
            <w:tcW w:type="dxa" w:w="1728"/>
          </w:tcPr>
          <w:p>
            <w:r/>
            <w:r>
              <w:t>varchar(2)</w:t>
            </w:r>
          </w:p>
        </w:tc>
        <w:tc>
          <w:tcPr>
            <w:tcW w:type="dxa" w:w="1728"/>
          </w:tcPr>
          <w:p>
            <w:r/>
            <w:r>
              <w:t>ISO 3166-1 alpha-2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  <w:sz w:val="20"/>
              </w:rPr>
              <w:t>description</w:t>
            </w:r>
          </w:p>
        </w:tc>
        <w:tc>
          <w:tcPr>
            <w:tcW w:type="dxa" w:w="1728"/>
          </w:tcPr>
          <w:p>
            <w:r/>
            <w:r>
              <w:t>text</w:t>
            </w:r>
          </w:p>
        </w:tc>
        <w:tc>
          <w:tcPr>
            <w:tcW w:type="dxa" w:w="1728"/>
          </w:tcPr>
          <w:p>
            <w:r/>
            <w:r>
              <w:t>free text — what this partner does, why they're integrated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  <w:sz w:val="20"/>
              </w:rPr>
              <w:t>contact_name</w:t>
            </w:r>
          </w:p>
        </w:tc>
        <w:tc>
          <w:tcPr>
            <w:tcW w:type="dxa" w:w="1728"/>
          </w:tcPr>
          <w:p>
            <w:r/>
            <w:r>
              <w:t>varchar(120)</w:t>
            </w:r>
          </w:p>
        </w:tc>
        <w:tc>
          <w:tcPr>
            <w:tcW w:type="dxa" w:w="1728"/>
          </w:tcPr>
          <w:p>
            <w:r/>
            <w:r>
              <w:t>primary point-of-contact human name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  <w:sz w:val="20"/>
              </w:rPr>
              <w:t>contact_email</w:t>
            </w:r>
          </w:p>
        </w:tc>
        <w:tc>
          <w:tcPr>
            <w:tcW w:type="dxa" w:w="1728"/>
          </w:tcPr>
          <w:p>
            <w:r/>
            <w:r>
              <w:t>varchar(120)</w:t>
            </w:r>
          </w:p>
        </w:tc>
        <w:tc>
          <w:tcPr>
            <w:tcW w:type="dxa" w:w="1728"/>
          </w:tcPr>
          <w:p>
            <w:r/>
            <w:r>
              <w:t>required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  <w:sz w:val="20"/>
              </w:rPr>
              <w:t>contact_phone</w:t>
            </w:r>
          </w:p>
        </w:tc>
        <w:tc>
          <w:tcPr>
            <w:tcW w:type="dxa" w:w="1728"/>
          </w:tcPr>
          <w:p>
            <w:r/>
            <w:r>
              <w:t>varchar(40)</w:t>
            </w:r>
          </w:p>
        </w:tc>
        <w:tc>
          <w:tcPr>
            <w:tcW w:type="dxa" w:w="1728"/>
          </w:tcPr>
          <w:p>
            <w:r/>
            <w:r>
              <w:t>optional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  <w:sz w:val="20"/>
              </w:rPr>
              <w:t>auth_kind</w:t>
            </w:r>
          </w:p>
        </w:tc>
        <w:tc>
          <w:tcPr>
            <w:tcW w:type="dxa" w:w="1728"/>
          </w:tcPr>
          <w:p>
            <w:r/>
            <w:r>
              <w:t>enum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sz w:val="20"/>
              </w:rPr>
              <w:t>oauth_client</w:t>
            </w:r>
            <w:r>
              <w:t xml:space="preserve"> \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sz w:val="20"/>
              </w:rPr>
              <w:t>api_key</w:t>
            </w:r>
            <w:r>
              <w:t xml:space="preserve"> \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sz w:val="20"/>
              </w:rPr>
              <w:t>none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  <w:sz w:val="20"/>
              </w:rPr>
              <w:t>client_id</w:t>
            </w:r>
          </w:p>
        </w:tc>
        <w:tc>
          <w:tcPr>
            <w:tcW w:type="dxa" w:w="1728"/>
          </w:tcPr>
          <w:p>
            <w:r/>
            <w:r>
              <w:t>varchar(64)</w:t>
            </w:r>
          </w:p>
        </w:tc>
        <w:tc>
          <w:tcPr>
            <w:tcW w:type="dxa" w:w="1728"/>
          </w:tcPr>
          <w:p>
            <w:r/>
            <w:r>
              <w:t xml:space="preserve">populated when </w:t>
            </w:r>
            <w:r>
              <w:rPr>
                <w:rFonts w:ascii="Consolas" w:hAnsi="Consolas"/>
                <w:sz w:val="20"/>
              </w:rPr>
              <w:t>auth_kind=oauth_client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  <w:sz w:val="20"/>
              </w:rPr>
              <w:t>client_secret_hash</w:t>
            </w:r>
          </w:p>
        </w:tc>
        <w:tc>
          <w:tcPr>
            <w:tcW w:type="dxa" w:w="1728"/>
          </w:tcPr>
          <w:p>
            <w:r/>
            <w:r>
              <w:t>varchar(128)</w:t>
            </w:r>
          </w:p>
        </w:tc>
        <w:tc>
          <w:tcPr>
            <w:tcW w:type="dxa" w:w="1728"/>
          </w:tcPr>
          <w:p>
            <w:r/>
            <w:r>
              <w:t>argon2 / bcrypt of the secret; secret itself shown once on creation, never stored cleartext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  <w:sz w:val="20"/>
              </w:rPr>
              <w:t>api_key_hash</w:t>
            </w:r>
          </w:p>
        </w:tc>
        <w:tc>
          <w:tcPr>
            <w:tcW w:type="dxa" w:w="1728"/>
          </w:tcPr>
          <w:p>
            <w:r/>
            <w:r>
              <w:t>varchar(128)</w:t>
            </w:r>
          </w:p>
        </w:tc>
        <w:tc>
          <w:tcPr>
            <w:tcW w:type="dxa" w:w="1728"/>
          </w:tcPr>
          <w:p>
            <w:r/>
            <w:r>
              <w:t xml:space="preserve">populated when </w:t>
            </w:r>
            <w:r>
              <w:rPr>
                <w:rFonts w:ascii="Consolas" w:hAnsi="Consolas"/>
                <w:sz w:val="20"/>
              </w:rPr>
              <w:t>auth_kind=api_key</w:t>
            </w:r>
            <w:r>
              <w:t>; same one-shot rule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  <w:sz w:val="20"/>
              </w:rPr>
              <w:t>allowed_scopes</w:t>
            </w:r>
          </w:p>
        </w:tc>
        <w:tc>
          <w:tcPr>
            <w:tcW w:type="dxa" w:w="1728"/>
          </w:tcPr>
          <w:p>
            <w:r/>
            <w:r>
              <w:t>jsonb</w:t>
            </w:r>
          </w:p>
        </w:tc>
        <w:tc>
          <w:tcPr>
            <w:tcW w:type="dxa" w:w="1728"/>
          </w:tcPr>
          <w:p>
            <w:r/>
            <w:r>
              <w:t xml:space="preserve">array of strings; e.g. </w:t>
            </w:r>
            <w:r>
              <w:rPr>
                <w:rFonts w:ascii="Consolas" w:hAnsi="Consolas"/>
                <w:sz w:val="20"/>
              </w:rPr>
              <w:t>["fhir.observation.read", "fhir.patient.read:cdr2"]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  <w:sz w:val="20"/>
              </w:rPr>
              <w:t>allowed_services</w:t>
            </w:r>
          </w:p>
        </w:tc>
        <w:tc>
          <w:tcPr>
            <w:tcW w:type="dxa" w:w="1728"/>
          </w:tcPr>
          <w:p>
            <w:r/>
            <w:r>
              <w:t>jsonb</w:t>
            </w:r>
          </w:p>
        </w:tc>
        <w:tc>
          <w:tcPr>
            <w:tcW w:type="dxa" w:w="1728"/>
          </w:tcPr>
          <w:p>
            <w:r/>
            <w:r>
              <w:t>array of service names (</w:t>
            </w:r>
            <w:r>
              <w:rPr>
                <w:rFonts w:ascii="Consolas" w:hAnsi="Consolas"/>
                <w:sz w:val="20"/>
              </w:rPr>
              <w:t>["cdr.pdhc","gateway.pdhc"]</w:t>
            </w:r>
            <w:r>
              <w:t>) the partner can call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  <w:sz w:val="20"/>
              </w:rPr>
              <w:t>status</w:t>
            </w:r>
          </w:p>
        </w:tc>
        <w:tc>
          <w:tcPr>
            <w:tcW w:type="dxa" w:w="1728"/>
          </w:tcPr>
          <w:p>
            <w:r/>
            <w:r>
              <w:t>enum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sz w:val="20"/>
              </w:rPr>
              <w:t>active</w:t>
            </w:r>
            <w:r>
              <w:t xml:space="preserve"> \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sz w:val="20"/>
              </w:rPr>
              <w:t>suspended</w:t>
            </w:r>
            <w:r>
              <w:t xml:space="preserve"> \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sz w:val="20"/>
              </w:rPr>
              <w:t>revoked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  <w:sz w:val="20"/>
              </w:rPr>
              <w:t>created_at</w:t>
            </w:r>
          </w:p>
        </w:tc>
        <w:tc>
          <w:tcPr>
            <w:tcW w:type="dxa" w:w="1728"/>
          </w:tcPr>
          <w:p>
            <w:r/>
            <w:r>
              <w:t>timestamptz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  <w:sz w:val="20"/>
              </w:rPr>
              <w:t>created_by_user_guid</w:t>
            </w:r>
          </w:p>
        </w:tc>
        <w:tc>
          <w:tcPr>
            <w:tcW w:type="dxa" w:w="1728"/>
          </w:tcPr>
          <w:p>
            <w:r/>
            <w:r>
              <w:t>UUID</w:t>
            </w:r>
          </w:p>
        </w:tc>
        <w:tc>
          <w:tcPr>
            <w:tcW w:type="dxa" w:w="1728"/>
          </w:tcPr>
          <w:p>
            <w:r/>
            <w:r>
              <w:t xml:space="preserve">FK to </w:t>
            </w:r>
            <w:r>
              <w:rPr>
                <w:rFonts w:ascii="Consolas" w:hAnsi="Consolas"/>
                <w:sz w:val="20"/>
              </w:rPr>
              <w:t>users.guid</w:t>
            </w:r>
            <w:r>
              <w:t xml:space="preserve"> (the SU who registered them)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  <w:sz w:val="20"/>
              </w:rPr>
              <w:t>last_rotated_at</w:t>
            </w:r>
          </w:p>
        </w:tc>
        <w:tc>
          <w:tcPr>
            <w:tcW w:type="dxa" w:w="1728"/>
          </w:tcPr>
          <w:p>
            <w:r/>
            <w:r>
              <w:t>timestamptz</w:t>
            </w:r>
          </w:p>
        </w:tc>
        <w:tc>
          <w:tcPr>
            <w:tcW w:type="dxa" w:w="1728"/>
          </w:tcPr>
          <w:p>
            <w:r/>
            <w:r>
              <w:t>for credential rotation tracking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  <w:sz w:val="20"/>
              </w:rPr>
              <w:t>expires_at</w:t>
            </w:r>
          </w:p>
        </w:tc>
        <w:tc>
          <w:tcPr>
            <w:tcW w:type="dxa" w:w="1728"/>
          </w:tcPr>
          <w:p>
            <w:r/>
            <w:r>
              <w:t>timestamptz</w:t>
            </w:r>
          </w:p>
        </w:tc>
        <w:tc>
          <w:tcPr>
            <w:tcW w:type="dxa" w:w="1728"/>
          </w:tcPr>
          <w:p>
            <w:r/>
            <w:r>
              <w:t>nullable; auto-revoke when reached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  <w:sz w:val="20"/>
              </w:rPr>
              <w:t>revoked_at</w:t>
            </w:r>
          </w:p>
        </w:tc>
        <w:tc>
          <w:tcPr>
            <w:tcW w:type="dxa" w:w="1728"/>
          </w:tcPr>
          <w:p>
            <w:r/>
            <w:r>
              <w:t>timestamptz</w:t>
            </w:r>
          </w:p>
        </w:tc>
        <w:tc>
          <w:tcPr>
            <w:tcW w:type="dxa" w:w="1728"/>
          </w:tcPr>
          <w:p>
            <w:r/>
            <w:r>
              <w:t>nullable; set on revocation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  <w:sz w:val="20"/>
              </w:rPr>
              <w:t>revoke_reason</w:t>
            </w:r>
          </w:p>
        </w:tc>
        <w:tc>
          <w:tcPr>
            <w:tcW w:type="dxa" w:w="1728"/>
          </w:tcPr>
          <w:p>
            <w:r/>
            <w:r>
              <w:t>text</w:t>
            </w:r>
          </w:p>
        </w:tc>
        <w:tc>
          <w:tcPr>
            <w:tcW w:type="dxa" w:w="1728"/>
          </w:tcPr>
          <w:p>
            <w:r/>
            <w:r>
              <w:t>nullable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/>
    <w:p/>
    <w:p>
      <w:pPr>
        <w:pStyle w:val="Heading2"/>
      </w:pPr>
      <w:r>
        <w:t>3.2 New table: `external_partner_audit`</w:t>
      </w:r>
    </w:p>
    <w:p/>
    <w:p>
      <w:r>
        <w:t xml:space="preserve">Append-only audit log of every state change. Shape: </w:t>
      </w:r>
      <w:r>
        <w:rPr>
          <w:rFonts w:ascii="Consolas" w:hAnsi="Consolas"/>
          <w:sz w:val="20"/>
        </w:rPr>
        <w:t>id</w:t>
      </w:r>
      <w:r>
        <w:t xml:space="preserve">, </w:t>
      </w:r>
      <w:r>
        <w:rPr>
          <w:rFonts w:ascii="Consolas" w:hAnsi="Consolas"/>
          <w:sz w:val="20"/>
        </w:rPr>
        <w:t>partner_guid</w:t>
      </w:r>
      <w:r>
        <w:t xml:space="preserve">, </w:t>
      </w:r>
      <w:r>
        <w:rPr>
          <w:rFonts w:ascii="Consolas" w:hAnsi="Consolas"/>
          <w:sz w:val="20"/>
        </w:rPr>
        <w:t>actor_user_guid</w:t>
      </w:r>
      <w:r>
        <w:t xml:space="preserve">, </w:t>
      </w:r>
      <w:r>
        <w:rPr>
          <w:rFonts w:ascii="Consolas" w:hAnsi="Consolas"/>
          <w:sz w:val="20"/>
        </w:rPr>
        <w:t>event</w:t>
      </w:r>
      <w:r>
        <w:t xml:space="preserve"> (enum: created / edited / rotated / suspended / reactivated / revoked), </w:t>
      </w:r>
      <w:r>
        <w:rPr>
          <w:rFonts w:ascii="Consolas" w:hAnsi="Consolas"/>
          <w:sz w:val="20"/>
        </w:rPr>
        <w:t>at</w:t>
      </w:r>
      <w:r>
        <w:t xml:space="preserve">, </w:t>
      </w:r>
      <w:r>
        <w:rPr>
          <w:rFonts w:ascii="Consolas" w:hAnsi="Consolas"/>
          <w:sz w:val="20"/>
        </w:rPr>
        <w:t>before_json</w:t>
      </w:r>
      <w:r>
        <w:t xml:space="preserve">, </w:t>
      </w:r>
      <w:r>
        <w:rPr>
          <w:rFonts w:ascii="Consolas" w:hAnsi="Consolas"/>
          <w:sz w:val="20"/>
        </w:rPr>
        <w:t>after_json</w:t>
      </w:r>
      <w:r>
        <w:t xml:space="preserve">. Driven by ORM hooks on </w:t>
      </w:r>
      <w:r>
        <w:rPr>
          <w:rFonts w:ascii="Consolas" w:hAnsi="Consolas"/>
          <w:sz w:val="20"/>
        </w:rPr>
        <w:t>external_partner</w:t>
      </w:r>
      <w:r>
        <w:t>.</w:t>
      </w:r>
    </w:p>
    <w:p/>
    <w:p>
      <w:pPr>
        <w:pStyle w:val="Heading2"/>
      </w:pPr>
      <w:r>
        <w:t>3.3 Why these specific fields</w:t>
      </w:r>
    </w:p>
    <w:p/>
    <w:p>
      <w:pPr>
        <w:pStyle w:val="ListBullet"/>
      </w:pPr>
      <w:r>
        <w:rPr>
          <w:rFonts w:ascii="Consolas" w:hAnsi="Consolas"/>
          <w:sz w:val="20"/>
        </w:rPr>
        <w:t>partner_guid</w:t>
      </w:r>
      <w:r>
        <w:t xml:space="preserve"> is the stable handle for cross-service references. Once issued, it never changes — even when display_name or contact info changes. Contracts pin to the GUID.</w:t>
      </w:r>
    </w:p>
    <w:p>
      <w:pPr>
        <w:pStyle w:val="ListBullet"/>
      </w:pPr>
      <w:r>
        <w:rPr>
          <w:rFonts w:ascii="Consolas" w:hAnsi="Consolas"/>
          <w:sz w:val="20"/>
        </w:rPr>
        <w:t>allowed_services</w:t>
      </w:r>
      <w:r>
        <w:t xml:space="preserve"> + </w:t>
      </w:r>
      <w:r>
        <w:rPr>
          <w:rFonts w:ascii="Consolas" w:hAnsi="Consolas"/>
          <w:sz w:val="20"/>
        </w:rPr>
        <w:t>allowed_scopes</w:t>
      </w:r>
      <w:r>
        <w:t xml:space="preserve"> give two layers: a coarse "this partner can talk to gateway.pdhc" gate, and a fine "and only for the observation.read scope" gate. The fine gate is checked at the target service; the coarse gate is checked at SSO.</w:t>
      </w:r>
    </w:p>
    <w:p>
      <w:pPr>
        <w:pStyle w:val="ListBullet"/>
      </w:pPr>
      <w:r>
        <w:t>Hashing client_secret + api_key matches how passwords are stored — operators see the cleartext only at creation and rotation, then it's gone.</w:t>
      </w:r>
    </w:p>
    <w:p>
      <w:pPr>
        <w:pStyle w:val="ListBullet"/>
      </w:pPr>
      <w:r>
        <w:rPr>
          <w:rFonts w:ascii="Consolas" w:hAnsi="Consolas"/>
          <w:sz w:val="20"/>
        </w:rPr>
        <w:t>created_by_user_guid</w:t>
      </w:r>
      <w:r>
        <w:t xml:space="preserve"> + </w:t>
      </w:r>
      <w:r>
        <w:rPr>
          <w:rFonts w:ascii="Consolas" w:hAnsi="Consolas"/>
          <w:sz w:val="20"/>
        </w:rPr>
        <w:t>external_partner_audit</w:t>
      </w:r>
      <w:r>
        <w:t xml:space="preserve"> give Rule 24 / GDPR auditability: every change is attributable to a named SU.</w:t>
      </w:r>
    </w:p>
    <w:p/>
    <w:p>
      <w:pPr>
        <w:spacing w:before="120" w:after="120"/>
        <w:jc w:val="center"/>
      </w:pPr>
      <w:r>
        <w:rPr>
          <w:color w:val="CCCCCC"/>
        </w:rPr>
        <w:t>────────────────────────────────────────</w:t>
      </w:r>
    </w:p>
    <w:p/>
    <w:p>
      <w:pPr>
        <w:pStyle w:val="Heading1"/>
      </w:pPr>
      <w:r>
        <w:t>4) Auth integration</w:t>
      </w:r>
    </w:p>
    <w:p/>
    <w:p>
      <w:pPr>
        <w:pStyle w:val="Heading2"/>
      </w:pPr>
      <w:r>
        <w:t>4.1 Extending the existing service-key path</w:t>
      </w:r>
    </w:p>
    <w:p/>
    <w:p>
      <w:r>
        <w:t>The current SSO request loader at every PDHC service inspects:</w:t>
      </w:r>
    </w:p>
    <w:p/>
    <w:p>
      <w:pPr>
        <w:ind w:left="360"/>
      </w:pPr>
      <w:r>
        <w:rPr>
          <w:rFonts w:ascii="Consolas" w:hAnsi="Consolas"/>
          <w:sz w:val="18"/>
        </w:rPr>
        <w:t>X-Source-Service: &lt;name&gt;</w:t>
        <w:br/>
        <w:t>X-Service-Key: &lt;secret&gt;</w:t>
      </w:r>
    </w:p>
    <w:p/>
    <w:p>
      <w:r>
        <w:t xml:space="preserve">…and looks the source up in a hardcoded </w:t>
      </w:r>
      <w:r>
        <w:rPr>
          <w:rFonts w:ascii="Consolas" w:hAnsi="Consolas"/>
          <w:sz w:val="20"/>
        </w:rPr>
        <w:t>KNOWN_FHIR_SERVICES</w:t>
      </w:r>
      <w:r>
        <w:t xml:space="preserve"> dict. Partners reuse this path. The shape:</w:t>
      </w:r>
    </w:p>
    <w:p/>
    <w:p>
      <w:pPr>
        <w:ind w:left="360"/>
      </w:pPr>
      <w:r>
        <w:rPr>
          <w:rFonts w:ascii="Consolas" w:hAnsi="Consolas"/>
          <w:sz w:val="18"/>
        </w:rPr>
        <w:t>X-Source-Service: partner:&lt;partner_guid&gt;</w:t>
        <w:br/>
        <w:t>X-Service-Key: &lt;api_key_or_client_secret&gt;</w:t>
      </w:r>
    </w:p>
    <w:p/>
    <w:p>
      <w:r>
        <w:t xml:space="preserve">The </w:t>
      </w:r>
      <w:r>
        <w:rPr>
          <w:rFonts w:ascii="Consolas" w:hAnsi="Consolas"/>
          <w:sz w:val="20"/>
        </w:rPr>
        <w:t>partner:</w:t>
      </w:r>
      <w:r>
        <w:t xml:space="preserve"> prefix tells the request loader "look this up in the partner table, not the internal-service table". The lookup hits </w:t>
      </w:r>
      <w:r>
        <w:rPr>
          <w:rFonts w:ascii="Consolas" w:hAnsi="Consolas"/>
          <w:sz w:val="20"/>
        </w:rPr>
        <w:t>sso.pdhc</w:t>
      </w:r>
      <w:r>
        <w:t xml:space="preserve">'s </w:t>
      </w:r>
      <w:r>
        <w:rPr>
          <w:rFonts w:ascii="Consolas" w:hAnsi="Consolas"/>
          <w:sz w:val="20"/>
        </w:rPr>
        <w:t>/api/internal/partner/&lt;guid&gt;/validate</w:t>
      </w:r>
      <w:r>
        <w:t xml:space="preserve"> endpoint (new), which:</w:t>
      </w:r>
    </w:p>
    <w:p/>
    <w:p>
      <w:pPr>
        <w:pStyle w:val="ListNumber"/>
      </w:pPr>
      <w:r>
        <w:t xml:space="preserve">Verifies the partner exists and </w:t>
      </w:r>
      <w:r>
        <w:rPr>
          <w:rFonts w:ascii="Consolas" w:hAnsi="Consolas"/>
          <w:sz w:val="20"/>
        </w:rPr>
        <w:t>status=active</w:t>
      </w:r>
      <w:r>
        <w:t>.</w:t>
      </w:r>
    </w:p>
    <w:p>
      <w:pPr>
        <w:pStyle w:val="ListNumber"/>
      </w:pPr>
      <w:r>
        <w:t xml:space="preserve">Verifies the supplied secret matches </w:t>
      </w:r>
      <w:r>
        <w:rPr>
          <w:rFonts w:ascii="Consolas" w:hAnsi="Consolas"/>
          <w:sz w:val="20"/>
        </w:rPr>
        <w:t>client_secret_hash</w:t>
      </w:r>
      <w:r>
        <w:t xml:space="preserve"> or </w:t>
      </w:r>
      <w:r>
        <w:rPr>
          <w:rFonts w:ascii="Consolas" w:hAnsi="Consolas"/>
          <w:sz w:val="20"/>
        </w:rPr>
        <w:t>api_key_hash</w:t>
      </w:r>
      <w:r>
        <w:t>.</w:t>
      </w:r>
    </w:p>
    <w:p>
      <w:pPr>
        <w:pStyle w:val="ListNumber"/>
      </w:pPr>
      <w:r>
        <w:t xml:space="preserve">Verifies </w:t>
      </w:r>
      <w:r>
        <w:rPr>
          <w:rFonts w:ascii="Consolas" w:hAnsi="Consolas"/>
          <w:sz w:val="20"/>
        </w:rPr>
        <w:t>expires_at</w:t>
      </w:r>
      <w:r>
        <w:t xml:space="preserve"> not passed.</w:t>
      </w:r>
    </w:p>
    <w:p>
      <w:pPr>
        <w:pStyle w:val="ListNumber"/>
      </w:pPr>
      <w:r>
        <w:t xml:space="preserve">Returns a synthetic access blob: </w:t>
      </w:r>
      <w:r>
        <w:rPr>
          <w:rFonts w:ascii="Consolas" w:hAnsi="Consolas"/>
          <w:sz w:val="20"/>
        </w:rPr>
        <w:t>{ user_type: "partner", partner_guid, allowed_scopes, allowed_services, is_su_admin: false, organization_ids: [] }</w:t>
      </w:r>
      <w:r>
        <w:t>.</w:t>
      </w:r>
    </w:p>
    <w:p/>
    <w:p>
      <w:r>
        <w:t>The receiving service (cdr.pdhc, gateway.pdhc, etc.) checks:</w:t>
      </w:r>
    </w:p>
    <w:p/>
    <w:p>
      <w:pPr>
        <w:pStyle w:val="ListBullet"/>
      </w:pPr>
      <w:r>
        <w:rPr>
          <w:rFonts w:ascii="Consolas" w:hAnsi="Consolas"/>
          <w:sz w:val="20"/>
        </w:rPr>
        <w:t>partner_guid</w:t>
      </w:r>
      <w:r>
        <w:t xml:space="preserve"> ∈ </w:t>
      </w:r>
      <w:r>
        <w:rPr>
          <w:rFonts w:ascii="Consolas" w:hAnsi="Consolas"/>
          <w:sz w:val="20"/>
        </w:rPr>
        <w:t>allowed_services</w:t>
      </w:r>
      <w:r>
        <w:t xml:space="preserve"> for </w:t>
      </w:r>
      <w:r>
        <w:rPr>
          <w:i/>
        </w:rPr>
        <w:t>its own service name</w:t>
      </w:r>
      <w:r>
        <w:t xml:space="preserve"> — refuse if not.</w:t>
      </w:r>
    </w:p>
    <w:p>
      <w:pPr>
        <w:pStyle w:val="ListBullet"/>
      </w:pPr>
      <w:r>
        <w:t xml:space="preserve">The endpoint being called is in </w:t>
      </w:r>
      <w:r>
        <w:rPr>
          <w:rFonts w:ascii="Consolas" w:hAnsi="Consolas"/>
          <w:sz w:val="20"/>
        </w:rPr>
        <w:t>allowed_scopes</w:t>
      </w:r>
      <w:r>
        <w:t xml:space="preserve"> — refuse if not.</w:t>
      </w:r>
    </w:p>
    <w:p/>
    <w:p>
      <w:pPr>
        <w:pStyle w:val="Heading2"/>
      </w:pPr>
      <w:r>
        <w:t>4.2 OAuth flow (optional, per partner)</w:t>
      </w:r>
    </w:p>
    <w:p/>
    <w:p>
      <w:r>
        <w:t xml:space="preserve">For partners that need browser-redirect flow (e.g. a third-party portal where end-users land), </w:t>
      </w:r>
      <w:r>
        <w:rPr>
          <w:rFonts w:ascii="Consolas" w:hAnsi="Consolas"/>
          <w:sz w:val="20"/>
        </w:rPr>
        <w:t>auth_kind=oauth_client</w:t>
      </w:r>
      <w:r>
        <w:t xml:space="preserve"> enables the existing OAuth 2.0 + PKCE flow. The partner is just an SSO client at that point; the flow is the same as for internal browser apps. </w:t>
      </w:r>
      <w:r>
        <w:rPr>
          <w:rFonts w:ascii="Consolas" w:hAnsi="Consolas"/>
          <w:sz w:val="20"/>
        </w:rPr>
        <w:t>client_secret</w:t>
      </w:r>
      <w:r>
        <w:t xml:space="preserve"> is the confidential-client secret used in the token endpoint.</w:t>
      </w:r>
    </w:p>
    <w:p/>
    <w:p>
      <w:pPr>
        <w:pStyle w:val="Heading2"/>
      </w:pPr>
      <w:r>
        <w:t>4.3 Replacing the broken `KEYAUTH_SERVICE_*` env-pair scheme</w:t>
      </w:r>
    </w:p>
    <w:p/>
    <w:p>
      <w:r>
        <w:t>The current scheme requires the operator to add env-pairs (</w:t>
      </w:r>
      <w:r>
        <w:rPr>
          <w:rFonts w:ascii="Consolas" w:hAnsi="Consolas"/>
          <w:sz w:val="20"/>
        </w:rPr>
        <w:t>KEYAUTH_SERVICE_FOO_URL</w:t>
      </w:r>
      <w:r>
        <w:t xml:space="preserve">, </w:t>
      </w:r>
      <w:r>
        <w:rPr>
          <w:rFonts w:ascii="Consolas" w:hAnsi="Consolas"/>
          <w:sz w:val="20"/>
        </w:rPr>
        <w:t>KEYAUTH_SERVICE_FOO_KEY</w:t>
      </w:r>
      <w:r>
        <w:t>) and restart sso.pdhc per partner. That's why the UI is empty in production — nobody set the env vars.</w:t>
      </w:r>
    </w:p>
    <w:p/>
    <w:p>
      <w:r>
        <w:t xml:space="preserve">The new scheme moves this into the DB. The Service Key Management UI is rewritten to read from </w:t>
      </w:r>
      <w:r>
        <w:rPr>
          <w:rFonts w:ascii="Consolas" w:hAnsi="Consolas"/>
          <w:sz w:val="20"/>
        </w:rPr>
        <w:t>external_partner</w:t>
      </w:r>
      <w:r>
        <w:t xml:space="preserve"> (filtered by </w:t>
      </w:r>
      <w:r>
        <w:rPr>
          <w:rFonts w:ascii="Consolas" w:hAnsi="Consolas"/>
          <w:sz w:val="20"/>
        </w:rPr>
        <w:t>auth_kind=api_key</w:t>
      </w:r>
      <w:r>
        <w:t xml:space="preserve">). The env-pair scheme is </w:t>
      </w:r>
      <w:r>
        <w:rPr>
          <w:b/>
        </w:rPr>
        <w:t>removed</w:t>
      </w:r>
      <w:r>
        <w:t xml:space="preserve"> in the same change.</w:t>
      </w:r>
    </w:p>
    <w:p/>
    <w:p>
      <w:pPr>
        <w:spacing w:before="120" w:after="120"/>
        <w:jc w:val="center"/>
      </w:pPr>
      <w:r>
        <w:rPr>
          <w:color w:val="CCCCCC"/>
        </w:rPr>
        <w:t>────────────────────────────────────────</w:t>
      </w:r>
    </w:p>
    <w:p/>
    <w:p>
      <w:pPr>
        <w:pStyle w:val="Heading1"/>
      </w:pPr>
      <w:r>
        <w:t>5) Admin page UX</w:t>
      </w:r>
    </w:p>
    <w:p/>
    <w:p>
      <w:pPr>
        <w:pStyle w:val="Heading2"/>
      </w:pPr>
      <w:r>
        <w:t>5.1 Route</w:t>
      </w:r>
    </w:p>
    <w:p/>
    <w:p>
      <w:r>
        <w:rPr>
          <w:rFonts w:ascii="Consolas" w:hAnsi="Consolas"/>
          <w:sz w:val="20"/>
        </w:rPr>
        <w:t>GET/POST /admin/partners</w:t>
      </w:r>
      <w:r>
        <w:t xml:space="preserve"> — SU-only, gated by </w:t>
      </w:r>
      <w:r>
        <w:rPr>
          <w:rFonts w:ascii="Consolas" w:hAnsi="Consolas"/>
          <w:sz w:val="20"/>
        </w:rPr>
        <w:t>is_su_admin=True</w:t>
      </w:r>
      <w:r>
        <w:t xml:space="preserve">. Adjacent to the existing </w:t>
      </w:r>
      <w:r>
        <w:rPr>
          <w:rFonts w:ascii="Consolas" w:hAnsi="Consolas"/>
          <w:sz w:val="20"/>
        </w:rPr>
        <w:t>/su/admin</w:t>
      </w:r>
      <w:r>
        <w:t xml:space="preserve"> page; possibly a tab or a sub-page link from there.</w:t>
      </w:r>
    </w:p>
    <w:p/>
    <w:p>
      <w:pPr>
        <w:pStyle w:val="Heading2"/>
      </w:pPr>
      <w:r>
        <w:t>5.2 Layout</w:t>
      </w:r>
    </w:p>
    <w:p/>
    <w:p>
      <w:r>
        <w:t>Three blocks on the page, top to bottom:</w:t>
      </w:r>
    </w:p>
    <w:p/>
    <w:p>
      <w:r>
        <w:rPr>
          <w:b/>
        </w:rPr>
        <w:t>Block A — Register new partner (form)</w:t>
      </w:r>
    </w:p>
    <w:p/>
    <w:p>
      <w:r>
        <w:t>Fields: display_name, org_number, country_code, description, contact name / email / phone, auth_kind (radio), allowed_services (multi-select from internal service list), allowed_scopes (free text per scope, with autocomplete from a known scope catalogue), expires_at (optional date).</w:t>
      </w:r>
    </w:p>
    <w:p/>
    <w:p>
      <w:r>
        <w:t xml:space="preserve">On submit: server generates </w:t>
      </w:r>
      <w:r>
        <w:rPr>
          <w:rFonts w:ascii="Consolas" w:hAnsi="Consolas"/>
          <w:sz w:val="20"/>
        </w:rPr>
        <w:t>partner_guid</w:t>
      </w:r>
      <w:r>
        <w:t xml:space="preserve">, generates the client_secret or api_key (a 43-char URL-safe random token), hashes and stores, </w:t>
      </w:r>
      <w:r>
        <w:rPr>
          <w:b/>
        </w:rPr>
        <w:t>shows the cleartext secret once on the response page</w:t>
      </w:r>
      <w:r>
        <w:t xml:space="preserve"> with a copy-to-clipboard button and a clear "this will never be shown again" warning. Same UX as GitHub's personal access tokens.</w:t>
      </w:r>
    </w:p>
    <w:p/>
    <w:p>
      <w:r>
        <w:rPr>
          <w:b/>
        </w:rPr>
        <w:t>Block B — Existing partners (table)</w:t>
      </w:r>
    </w:p>
    <w:p/>
    <w:p>
      <w:r>
        <w:t>Columns: display_name, partner_guid (truncated, click to copy), country, contact, auth_kind, status, expires, last_rotated. Per-row actions: View / Edit / Rotate credential / Suspend / Revoke.</w:t>
      </w:r>
    </w:p>
    <w:p/>
    <w:p>
      <w:r>
        <w:rPr>
          <w:b/>
        </w:rPr>
        <w:t>Block C — Audit log (collapsed by default)</w:t>
      </w:r>
    </w:p>
    <w:p/>
    <w:p>
      <w:r>
        <w:t>Shows last 50 audit entries with a "load more" button. Each row: timestamp, actor SU, event, partner display_name, before→after diff.</w:t>
      </w:r>
    </w:p>
    <w:p/>
    <w:p>
      <w:pPr>
        <w:pStyle w:val="Heading2"/>
      </w:pPr>
      <w:r>
        <w:t>5.3 Edit / Rotate / Suspend / Revoke</w:t>
      </w:r>
    </w:p>
    <w:p/>
    <w:p>
      <w:pPr>
        <w:pStyle w:val="ListBullet"/>
      </w:pPr>
      <w:r>
        <w:rPr>
          <w:b/>
        </w:rPr>
        <w:t>Edit</w:t>
      </w:r>
      <w:r>
        <w:t xml:space="preserve"> — change display_name, contact info, description, allowed_services, allowed_scopes, expires_at. Cannot change partner_guid, country_code, org_number after creation (these would invalidate signed contracts; require revoke + re-register).</w:t>
      </w:r>
    </w:p>
    <w:p>
      <w:pPr>
        <w:pStyle w:val="ListBullet"/>
      </w:pPr>
      <w:r>
        <w:rPr>
          <w:b/>
        </w:rPr>
        <w:t>Rotate credential</w:t>
      </w:r>
      <w:r>
        <w:t xml:space="preserve"> — generates a new secret, hashes it, sets </w:t>
      </w:r>
      <w:r>
        <w:rPr>
          <w:rFonts w:ascii="Consolas" w:hAnsi="Consolas"/>
          <w:sz w:val="20"/>
        </w:rPr>
        <w:t>last_rotated_at</w:t>
      </w:r>
      <w:r>
        <w:t>. Old secret stops working immediately. New secret shown once.</w:t>
      </w:r>
    </w:p>
    <w:p>
      <w:pPr>
        <w:pStyle w:val="ListBullet"/>
      </w:pPr>
      <w:r>
        <w:rPr>
          <w:b/>
        </w:rPr>
        <w:t>Suspend</w:t>
      </w:r>
      <w:r>
        <w:t xml:space="preserve"> — sets </w:t>
      </w:r>
      <w:r>
        <w:rPr>
          <w:rFonts w:ascii="Consolas" w:hAnsi="Consolas"/>
          <w:sz w:val="20"/>
        </w:rPr>
        <w:t>status=suspended</w:t>
      </w:r>
      <w:r>
        <w:t>. Auth checks fail until reactivated. Reversible.</w:t>
      </w:r>
    </w:p>
    <w:p>
      <w:pPr>
        <w:pStyle w:val="ListBullet"/>
      </w:pPr>
      <w:r>
        <w:rPr>
          <w:b/>
        </w:rPr>
        <w:t>Revoke</w:t>
      </w:r>
      <w:r>
        <w:t xml:space="preserve"> — sets </w:t>
      </w:r>
      <w:r>
        <w:rPr>
          <w:rFonts w:ascii="Consolas" w:hAnsi="Consolas"/>
          <w:sz w:val="20"/>
        </w:rPr>
        <w:t>status=revoked</w:t>
      </w:r>
      <w:r>
        <w:t xml:space="preserve">, </w:t>
      </w:r>
      <w:r>
        <w:rPr>
          <w:rFonts w:ascii="Consolas" w:hAnsi="Consolas"/>
          <w:sz w:val="20"/>
        </w:rPr>
        <w:t>revoked_at</w:t>
      </w:r>
      <w:r>
        <w:t xml:space="preserve">, </w:t>
      </w:r>
      <w:r>
        <w:rPr>
          <w:rFonts w:ascii="Consolas" w:hAnsi="Consolas"/>
          <w:sz w:val="20"/>
        </w:rPr>
        <w:t>revoke_reason</w:t>
      </w:r>
      <w:r>
        <w:t>. Irreversible at the SSO layer (you'd register a new partner with a new GUID if you wanted to bring them back); contracts referencing the revoked partner stay readable but flagged.</w:t>
      </w:r>
    </w:p>
    <w:p/>
    <w:p>
      <w:pPr>
        <w:pStyle w:val="Heading2"/>
      </w:pPr>
      <w:r>
        <w:t>5.4 Frontend stack</w:t>
      </w:r>
    </w:p>
    <w:p/>
    <w:p>
      <w:r>
        <w:t xml:space="preserve">Plain server-rendered HTML, matching the existing </w:t>
      </w:r>
      <w:r>
        <w:rPr>
          <w:rFonts w:ascii="Consolas" w:hAnsi="Consolas"/>
          <w:sz w:val="20"/>
        </w:rPr>
        <w:t>su_admin.html</w:t>
      </w:r>
      <w:r>
        <w:t xml:space="preserve"> style. No new SPA framework. The page extends </w:t>
      </w:r>
      <w:r>
        <w:rPr>
          <w:rFonts w:ascii="Consolas" w:hAnsi="Consolas"/>
          <w:sz w:val="20"/>
        </w:rPr>
        <w:t>base.html</w:t>
      </w:r>
      <w:r>
        <w:t xml:space="preserve"> and follows </w:t>
      </w:r>
      <w:r>
        <w:rPr>
          <w:rFonts w:ascii="Consolas" w:hAnsi="Consolas"/>
          <w:sz w:val="20"/>
        </w:rPr>
        <w:t>repo_css.md</w:t>
      </w:r>
      <w:r>
        <w:t xml:space="preserve"> design tokens.</w:t>
      </w:r>
    </w:p>
    <w:p/>
    <w:p>
      <w:pPr>
        <w:spacing w:before="120" w:after="120"/>
        <w:jc w:val="center"/>
      </w:pPr>
      <w:r>
        <w:rPr>
          <w:color w:val="CCCCCC"/>
        </w:rPr>
        <w:t>────────────────────────────────────────</w:t>
      </w:r>
    </w:p>
    <w:p/>
    <w:p>
      <w:pPr>
        <w:pStyle w:val="Heading1"/>
      </w:pPr>
      <w:r>
        <w:t>6) How `contract.pdhc` references partners</w:t>
      </w:r>
    </w:p>
    <w:p/>
    <w:p>
      <w:pPr>
        <w:pStyle w:val="Heading2"/>
      </w:pPr>
      <w:r>
        <w:t>6.1 FHIR Contract.signer.party pointer</w:t>
      </w:r>
    </w:p>
    <w:p/>
    <w:p>
      <w:r>
        <w:t xml:space="preserve">FHIR R5 Contract has a </w:t>
      </w:r>
      <w:r>
        <w:rPr>
          <w:rFonts w:ascii="Consolas" w:hAnsi="Consolas"/>
          <w:sz w:val="20"/>
        </w:rPr>
        <w:t>signer[]</w:t>
      </w:r>
      <w:r>
        <w:t xml:space="preserve"> array with </w:t>
      </w:r>
      <w:r>
        <w:rPr>
          <w:rFonts w:ascii="Consolas" w:hAnsi="Consolas"/>
          <w:sz w:val="20"/>
        </w:rPr>
        <w:t>signer[].party.reference</w:t>
      </w:r>
      <w:r>
        <w:t xml:space="preserve"> (a Reference). Today operators put whatever string they want there; no validation.</w:t>
      </w:r>
    </w:p>
    <w:p/>
    <w:p>
      <w:r>
        <w:t>The new convention:</w:t>
      </w:r>
    </w:p>
    <w:p/>
    <w:p>
      <w:pPr>
        <w:ind w:left="360"/>
      </w:pPr>
      <w:r>
        <w:rPr>
          <w:rFonts w:ascii="Consolas" w:hAnsi="Consolas"/>
          <w:sz w:val="18"/>
        </w:rPr>
        <w:t>{</w:t>
        <w:br/>
        <w:t xml:space="preserve">  "resourceType": "Contract",</w:t>
        <w:br/>
        <w:t xml:space="preserve">  "signer": [</w:t>
        <w:br/>
        <w:t xml:space="preserve">    {</w:t>
        <w:br/>
        <w:t xml:space="preserve">      "type": { "code": "AGNT" },</w:t>
        <w:br/>
        <w:t xml:space="preserve">      "party": {</w:t>
        <w:br/>
        <w:t xml:space="preserve">        "reference": "https://sso.pdhc.se/Partner/&lt;partner_guid&gt;",</w:t>
        <w:br/>
        <w:t xml:space="preserve">        "display": "Region Stockholm Diabetes Registry"</w:t>
        <w:br/>
        <w:t xml:space="preserve">      }</w:t>
        <w:br/>
        <w:t xml:space="preserve">    }</w:t>
        <w:br/>
        <w:t xml:space="preserve">  ]</w:t>
        <w:br/>
        <w:t>}</w:t>
      </w:r>
    </w:p>
    <w:p/>
    <w:p>
      <w:r>
        <w:t xml:space="preserve">The </w:t>
      </w:r>
      <w:r>
        <w:rPr>
          <w:rFonts w:ascii="Consolas" w:hAnsi="Consolas"/>
          <w:sz w:val="20"/>
        </w:rPr>
        <w:t>reference</w:t>
      </w:r>
      <w:r>
        <w:t xml:space="preserve"> URI — </w:t>
      </w:r>
      <w:r>
        <w:rPr>
          <w:rFonts w:ascii="Consolas" w:hAnsi="Consolas"/>
          <w:sz w:val="20"/>
        </w:rPr>
        <w:t>https://sso.pdhc.se/Partner/&lt;partner_guid&gt;</w:t>
      </w:r>
      <w:r>
        <w:t xml:space="preserve"> — is the canonical handle. </w:t>
      </w:r>
      <w:r>
        <w:rPr>
          <w:rFonts w:ascii="Consolas" w:hAnsi="Consolas"/>
          <w:sz w:val="20"/>
        </w:rPr>
        <w:t>contract.pdhc</w:t>
      </w:r>
      <w:r>
        <w:t xml:space="preserve"> validates on insert/update that any reference matching that pattern resolves to a real partner via SSO's lookup endpoint.</w:t>
      </w:r>
    </w:p>
    <w:p/>
    <w:p>
      <w:pPr>
        <w:pStyle w:val="Heading2"/>
      </w:pPr>
      <w:r>
        <w:t>6.2 New SSO endpoint: `GET /api/public/partner/&lt;guid&gt;`</w:t>
      </w:r>
    </w:p>
    <w:p/>
    <w:p>
      <w:r>
        <w:t>Read-only public endpoint returning a sparse partner record:</w:t>
      </w:r>
    </w:p>
    <w:p/>
    <w:p>
      <w:pPr>
        <w:ind w:left="360"/>
      </w:pPr>
      <w:r>
        <w:rPr>
          <w:rFonts w:ascii="Consolas" w:hAnsi="Consolas"/>
          <w:sz w:val="18"/>
        </w:rPr>
        <w:t>{</w:t>
        <w:br/>
        <w:t xml:space="preserve">  "partner_guid": "&lt;uuid&gt;",</w:t>
        <w:br/>
        <w:t xml:space="preserve">  "display_name": "...",</w:t>
        <w:br/>
        <w:t xml:space="preserve">  "country_code": "SE",</w:t>
        <w:br/>
        <w:t xml:space="preserve">  "status": "active|suspended|revoked",</w:t>
        <w:br/>
        <w:t xml:space="preserve">  "description": "..."</w:t>
        <w:br/>
        <w:t>}</w:t>
      </w:r>
    </w:p>
    <w:p/>
    <w:p>
      <w:r>
        <w:t xml:space="preserve">Public because </w:t>
      </w:r>
      <w:r>
        <w:rPr>
          <w:rFonts w:ascii="Consolas" w:hAnsi="Consolas"/>
          <w:sz w:val="20"/>
        </w:rPr>
        <w:t>contract.pdhc</w:t>
      </w:r>
      <w:r>
        <w:t xml:space="preserve"> (and any UI that renders a contract) needs to look up "what does this partner_guid mean" without service-key auth. Sensitive fields (contact info, scopes, secrets) are NOT exposed here — those require SU auth at the </w:t>
      </w:r>
      <w:r>
        <w:rPr>
          <w:rFonts w:ascii="Consolas" w:hAnsi="Consolas"/>
          <w:sz w:val="20"/>
        </w:rPr>
        <w:t>/admin/partners/&lt;guid&gt;</w:t>
      </w:r>
      <w:r>
        <w:t xml:space="preserve"> route.</w:t>
      </w:r>
    </w:p>
    <w:p/>
    <w:p>
      <w:pPr>
        <w:pStyle w:val="Heading2"/>
      </w:pPr>
      <w:r>
        <w:t>6.3 Contract list / detail UI in contract.pdhc</w:t>
      </w:r>
    </w:p>
    <w:p/>
    <w:p>
      <w:r>
        <w:t xml:space="preserve">When </w:t>
      </w:r>
      <w:r>
        <w:rPr>
          <w:rFonts w:ascii="Consolas" w:hAnsi="Consolas"/>
          <w:sz w:val="20"/>
        </w:rPr>
        <w:t>contract.pdhc</w:t>
      </w:r>
      <w:r>
        <w:t xml:space="preserve"> renders a Contract record, for each </w:t>
      </w:r>
      <w:r>
        <w:rPr>
          <w:rFonts w:ascii="Consolas" w:hAnsi="Consolas"/>
          <w:sz w:val="20"/>
        </w:rPr>
        <w:t>signer[].party.reference</w:t>
      </w:r>
      <w:r>
        <w:t xml:space="preserve"> matching the </w:t>
      </w:r>
      <w:r>
        <w:rPr>
          <w:rFonts w:ascii="Consolas" w:hAnsi="Consolas"/>
          <w:sz w:val="20"/>
        </w:rPr>
        <w:t>https://sso.pdhc.se/Partner/&lt;guid&gt;</w:t>
      </w:r>
      <w:r>
        <w:t xml:space="preserve"> shape, it fetches the public partner record and shows the display_name + country + status badge inline. Lookup is cached in-process for ~5 min so listing doesn't hammer SSO.</w:t>
      </w:r>
    </w:p>
    <w:p/>
    <w:p>
      <w:pPr>
        <w:pStyle w:val="Heading2"/>
      </w:pPr>
      <w:r>
        <w:t>6.4 Contract creation flow (later, optional)</w:t>
      </w:r>
    </w:p>
    <w:p/>
    <w:p>
      <w:r>
        <w:t xml:space="preserve">A future enhancement: contract.pdhc's contract-creation form has a "Partner" autocomplete that hits </w:t>
      </w:r>
      <w:r>
        <w:rPr>
          <w:rFonts w:ascii="Consolas" w:hAnsi="Consolas"/>
          <w:sz w:val="20"/>
        </w:rPr>
        <w:t>GET /api/public/partner?search=</w:t>
      </w:r>
      <w:r>
        <w:t xml:space="preserve"> to let the operator pick a registered partner directly. The form then populates </w:t>
      </w:r>
      <w:r>
        <w:rPr>
          <w:rFonts w:ascii="Consolas" w:hAnsi="Consolas"/>
          <w:sz w:val="20"/>
        </w:rPr>
        <w:t>signer[].party.reference</w:t>
      </w:r>
      <w:r>
        <w:t xml:space="preserve"> automatically. </w:t>
      </w:r>
      <w:r>
        <w:rPr>
          <w:b/>
        </w:rPr>
        <w:t>Out of scope for this plan</w:t>
      </w:r>
      <w:r>
        <w:t xml:space="preserve"> — the canonical reference URI is what matters; the form UX is iterable.</w:t>
      </w:r>
    </w:p>
    <w:p/>
    <w:p>
      <w:pPr>
        <w:spacing w:before="120" w:after="120"/>
        <w:jc w:val="center"/>
      </w:pPr>
      <w:r>
        <w:rPr>
          <w:color w:val="CCCCCC"/>
        </w:rPr>
        <w:t>────────────────────────────────────────</w:t>
      </w:r>
    </w:p>
    <w:p/>
    <w:p>
      <w:pPr>
        <w:pStyle w:val="Heading1"/>
      </w:pPr>
      <w:r>
        <w:t>7) Service Key Management fix</w:t>
      </w:r>
    </w:p>
    <w:p/>
    <w:p>
      <w:pPr>
        <w:pStyle w:val="Heading2"/>
      </w:pPr>
      <w:r>
        <w:t>7.1 What's broken</w:t>
      </w:r>
    </w:p>
    <w:p/>
    <w:p>
      <w:r>
        <w:t xml:space="preserve">The existing UI (lower section of the SSO admin page) reads from </w:t>
      </w:r>
      <w:r>
        <w:rPr>
          <w:rFonts w:ascii="Consolas" w:hAnsi="Consolas"/>
          <w:sz w:val="20"/>
        </w:rPr>
        <w:t>app.config.SERVICES_REGISTRY</w:t>
      </w:r>
      <w:r>
        <w:t xml:space="preserve">, which is built from </w:t>
      </w:r>
      <w:r>
        <w:rPr>
          <w:rFonts w:ascii="Consolas" w:hAnsi="Consolas"/>
          <w:sz w:val="20"/>
        </w:rPr>
        <w:t>KEYAUTH_SERVICE_*_URL</w:t>
      </w:r>
      <w:r>
        <w:t xml:space="preserve"> / </w:t>
      </w:r>
      <w:r>
        <w:rPr>
          <w:rFonts w:ascii="Consolas" w:hAnsi="Consolas"/>
          <w:sz w:val="20"/>
        </w:rPr>
        <w:t>_KEY</w:t>
      </w:r>
      <w:r>
        <w:t xml:space="preserve"> env-pair scanning at boot. Production deploys never set those env vars, so the registry is always empty and the UI permanently shows "No keyed services configured."</w:t>
      </w:r>
    </w:p>
    <w:p/>
    <w:p>
      <w:pPr>
        <w:pStyle w:val="Heading2"/>
      </w:pPr>
      <w:r>
        <w:t>7.2 What replaces it</w:t>
      </w:r>
    </w:p>
    <w:p/>
    <w:p>
      <w:r>
        <w:t xml:space="preserve">The "Service Key Management" UI is </w:t>
      </w:r>
      <w:r>
        <w:rPr>
          <w:b/>
        </w:rPr>
        <w:t>deleted</w:t>
      </w:r>
      <w:r>
        <w:t xml:space="preserve"> from the SSO admin page. Its function is subsumed by the new </w:t>
      </w:r>
      <w:r>
        <w:rPr>
          <w:rFonts w:ascii="Consolas" w:hAnsi="Consolas"/>
          <w:sz w:val="20"/>
        </w:rPr>
        <w:t>/admin/partners</w:t>
      </w:r>
      <w:r>
        <w:t xml:space="preserve"> page (filtered to </w:t>
      </w:r>
      <w:r>
        <w:rPr>
          <w:rFonts w:ascii="Consolas" w:hAnsi="Consolas"/>
          <w:sz w:val="20"/>
        </w:rPr>
        <w:t>auth_kind=api_key</w:t>
      </w:r>
      <w:r>
        <w:t xml:space="preserve"> partners, if anyone wants the same view). The </w:t>
      </w:r>
      <w:r>
        <w:rPr>
          <w:rFonts w:ascii="Consolas" w:hAnsi="Consolas"/>
          <w:sz w:val="20"/>
        </w:rPr>
        <w:t>KEYAUTH_SERVICE_*</w:t>
      </w:r>
      <w:r>
        <w:t xml:space="preserve"> config-scanning code path in </w:t>
      </w:r>
      <w:r>
        <w:rPr>
          <w:rFonts w:ascii="Consolas" w:hAnsi="Consolas"/>
          <w:sz w:val="20"/>
        </w:rPr>
        <w:t>src/config.py</w:t>
      </w:r>
      <w:r>
        <w:t xml:space="preserve"> is removed.</w:t>
      </w:r>
    </w:p>
    <w:p/>
    <w:p>
      <w:pPr>
        <w:pStyle w:val="Heading2"/>
      </w:pPr>
      <w:r>
        <w:t>7.3 Migration concern</w:t>
      </w:r>
    </w:p>
    <w:p/>
    <w:p>
      <w:r>
        <w:t xml:space="preserve">If any internal service was relying on a </w:t>
      </w:r>
      <w:r>
        <w:rPr>
          <w:rFonts w:ascii="Consolas" w:hAnsi="Consolas"/>
          <w:sz w:val="20"/>
        </w:rPr>
        <w:t>KEYAUTH_SERVICE_*</w:t>
      </w:r>
      <w:r>
        <w:t xml:space="preserve"> row in production (none currently — the registry is empty), it would need to be reissued as a partner record. We'll grep the prod env on miserver for any </w:t>
      </w:r>
      <w:r>
        <w:rPr>
          <w:rFonts w:ascii="Consolas" w:hAnsi="Consolas"/>
          <w:sz w:val="20"/>
        </w:rPr>
        <w:t>KEYAUTH_SERVICE_*=...</w:t>
      </w:r>
      <w:r>
        <w:t xml:space="preserve"> pairs before deletion to be safe.</w:t>
      </w:r>
    </w:p>
    <w:p/>
    <w:p>
      <w:pPr>
        <w:spacing w:before="120" w:after="120"/>
        <w:jc w:val="center"/>
      </w:pPr>
      <w:r>
        <w:rPr>
          <w:color w:val="CCCCCC"/>
        </w:rPr>
        <w:t>────────────────────────────────────────</w:t>
      </w:r>
    </w:p>
    <w:p/>
    <w:p>
      <w:pPr>
        <w:pStyle w:val="Heading1"/>
      </w:pPr>
      <w:r>
        <w:t>8) Rollout plan</w:t>
      </w:r>
    </w:p>
    <w:p/>
    <w:p>
      <w:pPr>
        <w:pStyle w:val="Heading2"/>
      </w:pPr>
      <w:r>
        <w:t>8.1 Order of operations</w:t>
      </w:r>
    </w:p>
    <w:p/>
    <w:p>
      <w:pPr>
        <w:pStyle w:val="ListNumber"/>
      </w:pPr>
      <w:r>
        <w:rPr>
          <w:b/>
        </w:rPr>
        <w:t>Migration</w:t>
      </w:r>
      <w:r>
        <w:t xml:space="preserve"> — alembic migration adds </w:t>
      </w:r>
      <w:r>
        <w:rPr>
          <w:rFonts w:ascii="Consolas" w:hAnsi="Consolas"/>
          <w:sz w:val="20"/>
        </w:rPr>
        <w:t>external_partner</w:t>
      </w:r>
      <w:r>
        <w:t xml:space="preserve"> + </w:t>
      </w:r>
      <w:r>
        <w:rPr>
          <w:rFonts w:ascii="Consolas" w:hAnsi="Consolas"/>
          <w:sz w:val="20"/>
        </w:rPr>
        <w:t>external_partner_audit</w:t>
      </w:r>
      <w:r>
        <w:t xml:space="preserve"> tables to sso.pdhc DB. Idempotent. Empty rollout — no data yet.</w:t>
      </w:r>
    </w:p>
    <w:p>
      <w:pPr>
        <w:pStyle w:val="ListNumber"/>
      </w:pPr>
      <w:r>
        <w:rPr>
          <w:b/>
        </w:rPr>
        <w:t>Backend</w:t>
      </w:r>
      <w:r>
        <w:t xml:space="preserve"> — add ORM models, </w:t>
      </w:r>
      <w:r>
        <w:rPr>
          <w:rFonts w:ascii="Consolas" w:hAnsi="Consolas"/>
          <w:sz w:val="20"/>
        </w:rPr>
        <w:t>/api/internal/partner/&lt;guid&gt;/validate</w:t>
      </w:r>
      <w:r>
        <w:t xml:space="preserve"> (service-to-service), </w:t>
      </w:r>
      <w:r>
        <w:rPr>
          <w:rFonts w:ascii="Consolas" w:hAnsi="Consolas"/>
          <w:sz w:val="20"/>
        </w:rPr>
        <w:t>/api/public/partner/&lt;guid&gt;</w:t>
      </w:r>
      <w:r>
        <w:t xml:space="preserve"> (public read), </w:t>
      </w:r>
      <w:r>
        <w:rPr>
          <w:rFonts w:ascii="Consolas" w:hAnsi="Consolas"/>
          <w:sz w:val="20"/>
        </w:rPr>
        <w:t>/api/admin/partners/*</w:t>
      </w:r>
      <w:r>
        <w:t xml:space="preserve"> (CRUD + rotate/suspend/revoke; SU-only). Unit tests. No UI yet.</w:t>
      </w:r>
    </w:p>
    <w:p>
      <w:pPr>
        <w:pStyle w:val="ListNumber"/>
      </w:pPr>
      <w:r>
        <w:rPr>
          <w:b/>
        </w:rPr>
        <w:t>Frontend</w:t>
      </w:r>
      <w:r>
        <w:t xml:space="preserve"> — add </w:t>
      </w:r>
      <w:r>
        <w:rPr>
          <w:rFonts w:ascii="Consolas" w:hAnsi="Consolas"/>
          <w:sz w:val="20"/>
        </w:rPr>
        <w:t>/admin/partners</w:t>
      </w:r>
      <w:r>
        <w:t xml:space="preserve"> server-rendered page. Manual smoke from local SU login.</w:t>
      </w:r>
    </w:p>
    <w:p>
      <w:pPr>
        <w:pStyle w:val="ListNumber"/>
      </w:pPr>
      <w:r>
        <w:rPr>
          <w:b/>
        </w:rPr>
        <w:t>Integrate</w:t>
      </w:r>
      <w:r>
        <w:t xml:space="preserve"> — extend the existing service-key request-loader on each PDHC service to recognise </w:t>
      </w:r>
      <w:r>
        <w:rPr>
          <w:rFonts w:ascii="Consolas" w:hAnsi="Consolas"/>
          <w:sz w:val="20"/>
        </w:rPr>
        <w:t>partner:&lt;guid&gt;</w:t>
      </w:r>
      <w:r>
        <w:t xml:space="preserve"> source format and call SSO's validate endpoint. Per-service deploy.</w:t>
      </w:r>
    </w:p>
    <w:p>
      <w:pPr>
        <w:pStyle w:val="ListNumber"/>
      </w:pPr>
      <w:r>
        <w:rPr>
          <w:b/>
        </w:rPr>
        <w:t>Contract.pdhc</w:t>
      </w:r>
      <w:r>
        <w:t xml:space="preserve"> — add reference-validation to ContractRecord insert/update. Add inline partner display in list/detail. Per-service deploy.</w:t>
      </w:r>
    </w:p>
    <w:p>
      <w:pPr>
        <w:pStyle w:val="ListNumber"/>
      </w:pPr>
      <w:r>
        <w:rPr>
          <w:b/>
        </w:rPr>
        <w:t>Cleanup</w:t>
      </w:r>
      <w:r>
        <w:t xml:space="preserve"> — remove the </w:t>
      </w:r>
      <w:r>
        <w:rPr>
          <w:rFonts w:ascii="Consolas" w:hAnsi="Consolas"/>
          <w:sz w:val="20"/>
        </w:rPr>
        <w:t>KEYAUTH_SERVICE_*</w:t>
      </w:r>
      <w:r>
        <w:t xml:space="preserve"> env-scanning code path and its UI block. Remove the empty-state message that's confusing operators.</w:t>
      </w:r>
    </w:p>
    <w:p>
      <w:pPr>
        <w:pStyle w:val="ListNumber"/>
      </w:pPr>
      <w:r>
        <w:rPr>
          <w:b/>
        </w:rPr>
        <w:t>Documentation</w:t>
      </w:r>
      <w:r>
        <w:t xml:space="preserve"> — </w:t>
      </w:r>
      <w:r>
        <w:rPr>
          <w:rFonts w:ascii="Consolas" w:hAnsi="Consolas"/>
          <w:sz w:val="20"/>
        </w:rPr>
        <w:t>docs/external_partners.md</w:t>
      </w:r>
      <w:r>
        <w:t xml:space="preserve"> describing onboarding flow for SUs. </w:t>
      </w:r>
      <w:r>
        <w:rPr>
          <w:rFonts w:ascii="Consolas" w:hAnsi="Consolas"/>
          <w:sz w:val="20"/>
        </w:rPr>
        <w:t>docs/api/partners.md</w:t>
      </w:r>
      <w:r>
        <w:t xml:space="preserve"> describing the public lookup endpoint for partner UIs.</w:t>
      </w:r>
    </w:p>
    <w:p/>
    <w:p>
      <w:pPr>
        <w:pStyle w:val="Heading2"/>
      </w:pPr>
      <w:r>
        <w:t>8.2 Each step gates on the previous</w:t>
      </w:r>
    </w:p>
    <w:p/>
    <w:p>
      <w:r>
        <w:t>No step ships to production until the preceding one's tests are green and the operator has run smoke checks. The plan deliberately puts schema + backend + UI in three separate deploys so a regression in any layer is rolled back surgically.</w:t>
      </w:r>
    </w:p>
    <w:p/>
    <w:p>
      <w:pPr>
        <w:pStyle w:val="Heading2"/>
      </w:pPr>
      <w:r>
        <w:t>8.3 Operator-only steps (per Rule 19)</w:t>
      </w:r>
    </w:p>
    <w:p/>
    <w:p>
      <w:pPr>
        <w:pStyle w:val="ListBullet"/>
      </w:pPr>
      <w:r>
        <w:t>Running the alembic migration on the live sso.pdhc DB.</w:t>
      </w:r>
    </w:p>
    <w:p>
      <w:pPr>
        <w:pStyle w:val="ListBullet"/>
      </w:pPr>
      <w:r>
        <w:t>Restarting sso.pdhc gunicorn after each backend deploy.</w:t>
      </w:r>
    </w:p>
    <w:p>
      <w:pPr>
        <w:pStyle w:val="ListBullet"/>
      </w:pPr>
      <w:r>
        <w:t>The first-ever partner registration (before any external party gets a credential).</w:t>
      </w:r>
    </w:p>
    <w:p/>
    <w:p>
      <w:r>
        <w:t>I (Claude) prepare the migration, code, and instructions; the operator runs them on the server.</w:t>
      </w:r>
    </w:p>
    <w:p/>
    <w:p>
      <w:pPr>
        <w:spacing w:before="120" w:after="120"/>
        <w:jc w:val="center"/>
      </w:pPr>
      <w:r>
        <w:rPr>
          <w:color w:val="CCCCCC"/>
        </w:rPr>
        <w:t>────────────────────────────────────────</w:t>
      </w:r>
    </w:p>
    <w:p/>
    <w:p>
      <w:pPr>
        <w:pStyle w:val="Heading1"/>
      </w:pPr>
      <w:r>
        <w:t>9) Open questions</w:t>
      </w:r>
    </w:p>
    <w:p/>
    <w:p>
      <w:r>
        <w:t>These need an explicit operator decision before step 1:</w:t>
      </w:r>
    </w:p>
    <w:p/>
    <w:p>
      <w:pPr>
        <w:pStyle w:val="ListNumber"/>
      </w:pPr>
      <w:r>
        <w:rPr>
          <w:b/>
        </w:rPr>
        <w:t>Credential lifetime defaults</w:t>
      </w:r>
      <w:r>
        <w:t xml:space="preserve"> — should partner credentials default to non-expiring, 90-day, or 1-year? My suggestion: 1-year, with auto-rotation reminders 30 days before expiry.</w:t>
      </w:r>
    </w:p>
    <w:p>
      <w:pPr>
        <w:pStyle w:val="ListNumber"/>
      </w:pPr>
      <w:r>
        <w:rPr>
          <w:b/>
        </w:rPr>
        <w:t>Scope catalogue</w:t>
      </w:r>
      <w:r>
        <w:t xml:space="preserve"> — should </w:t>
      </w:r>
      <w:r>
        <w:rPr>
          <w:rFonts w:ascii="Consolas" w:hAnsi="Consolas"/>
          <w:sz w:val="20"/>
        </w:rPr>
        <w:t>allowed_scopes</w:t>
      </w:r>
      <w:r>
        <w:t xml:space="preserve"> be free-text or constrained to a known catalogue? My suggestion: constrained — define a </w:t>
      </w:r>
      <w:r>
        <w:rPr>
          <w:rFonts w:ascii="Consolas" w:hAnsi="Consolas"/>
          <w:sz w:val="20"/>
        </w:rPr>
        <w:t>SCOPE_CATALOGUE</w:t>
      </w:r>
      <w:r>
        <w:t xml:space="preserve"> constant in sso.pdhc that the form's autocomplete reads from. Adding a new scope is a code change reviewed in PR.</w:t>
      </w:r>
    </w:p>
    <w:p>
      <w:pPr>
        <w:pStyle w:val="ListNumber"/>
      </w:pPr>
      <w:r>
        <w:rPr>
          <w:b/>
        </w:rPr>
        <w:t>Multi-tenancy</w:t>
      </w:r>
      <w:r>
        <w:t xml:space="preserve"> — should one partner be able to act on behalf of multiple </w:t>
      </w:r>
      <w:r>
        <w:rPr>
          <w:rFonts w:ascii="Consolas" w:hAnsi="Consolas"/>
          <w:sz w:val="20"/>
        </w:rPr>
        <w:t>org_guid</w:t>
      </w:r>
      <w:r>
        <w:t xml:space="preserve">s (e.g. a vendor managing 5 healthcare regions)? My suggestion: yes — </w:t>
      </w:r>
      <w:r>
        <w:rPr>
          <w:rFonts w:ascii="Consolas" w:hAnsi="Consolas"/>
          <w:sz w:val="20"/>
        </w:rPr>
        <w:t>allowed_org_guids: jsonb</w:t>
      </w:r>
      <w:r>
        <w:t xml:space="preserve"> (nullable) gives that without changing the table shape.</w:t>
      </w:r>
    </w:p>
    <w:p>
      <w:pPr>
        <w:pStyle w:val="ListNumber"/>
      </w:pPr>
      <w:r>
        <w:rPr>
          <w:b/>
        </w:rPr>
        <w:t>Contract reference shape</w:t>
      </w:r>
      <w:r>
        <w:t xml:space="preserve"> — keep the </w:t>
      </w:r>
      <w:r>
        <w:rPr>
          <w:rFonts w:ascii="Consolas" w:hAnsi="Consolas"/>
          <w:sz w:val="20"/>
        </w:rPr>
        <w:t>https://sso.pdhc.se/Partner/&lt;guid&gt;</w:t>
      </w:r>
      <w:r>
        <w:t xml:space="preserve"> URL convention, or use a FHIR </w:t>
      </w:r>
      <w:r>
        <w:rPr>
          <w:rFonts w:ascii="Consolas" w:hAnsi="Consolas"/>
          <w:sz w:val="20"/>
        </w:rPr>
        <w:t>urn:uuid:&lt;guid&gt;</w:t>
      </w:r>
      <w:r>
        <w:t xml:space="preserve"> style? URL is more discoverable; </w:t>
      </w:r>
      <w:r>
        <w:rPr>
          <w:rFonts w:ascii="Consolas" w:hAnsi="Consolas"/>
          <w:sz w:val="20"/>
        </w:rPr>
        <w:t>urn:uuid</w:t>
      </w:r>
      <w:r>
        <w:t xml:space="preserve"> is shorter. My suggestion: URL, it's more standard for FHIR external references.</w:t>
      </w:r>
    </w:p>
    <w:p>
      <w:pPr>
        <w:pStyle w:val="ListNumber"/>
      </w:pPr>
      <w:r>
        <w:rPr>
          <w:b/>
        </w:rPr>
        <w:t>Public endpoint rate limiting</w:t>
      </w:r>
      <w:r>
        <w:t xml:space="preserve"> — the </w:t>
      </w:r>
      <w:r>
        <w:rPr>
          <w:rFonts w:ascii="Consolas" w:hAnsi="Consolas"/>
          <w:sz w:val="20"/>
        </w:rPr>
        <w:t>GET /api/public/partner/&lt;guid&gt;</w:t>
      </w:r>
      <w:r>
        <w:t xml:space="preserve"> is reachable without auth. We probably want a per-IP rate limit. Use existing nginx </w:t>
      </w:r>
      <w:r>
        <w:rPr>
          <w:rFonts w:ascii="Consolas" w:hAnsi="Consolas"/>
          <w:sz w:val="20"/>
        </w:rPr>
        <w:t>limit_req</w:t>
      </w:r>
      <w:r>
        <w:t xml:space="preserve"> zone, or in-app middleware? My suggestion: nginx, consistent with other public endpoints on sso.pdhc.</w:t>
      </w:r>
    </w:p>
    <w:p/>
    <w:p>
      <w:pPr>
        <w:spacing w:before="120" w:after="120"/>
        <w:jc w:val="center"/>
      </w:pPr>
      <w:r>
        <w:rPr>
          <w:color w:val="CCCCCC"/>
        </w:rPr>
        <w:t>────────────────────────────────────────</w:t>
      </w:r>
    </w:p>
    <w:p/>
    <w:p>
      <w:pPr>
        <w:pStyle w:val="Heading1"/>
      </w:pPr>
      <w:r>
        <w:t>10) Out of scope (for clarity)</w:t>
      </w:r>
    </w:p>
    <w:p/>
    <w:p>
      <w:pPr>
        <w:pStyle w:val="ListBullet"/>
      </w:pPr>
      <w:r>
        <w:t>Self-service partner onboarding (partners registering themselves).</w:t>
      </w:r>
    </w:p>
    <w:p>
      <w:pPr>
        <w:pStyle w:val="ListBullet"/>
      </w:pPr>
      <w:r>
        <w:t>Per-partner usage analytics / billing.</w:t>
      </w:r>
    </w:p>
    <w:p>
      <w:pPr>
        <w:pStyle w:val="ListBullet"/>
      </w:pPr>
      <w:r>
        <w:t>Cross-partner trust delegation (partner A vouching for partner B).</w:t>
      </w:r>
    </w:p>
    <w:p>
      <w:pPr>
        <w:pStyle w:val="ListBullet"/>
      </w:pPr>
      <w:r>
        <w:t xml:space="preserve">A separate </w:t>
      </w:r>
      <w:r>
        <w:rPr>
          <w:rFonts w:ascii="Consolas" w:hAnsi="Consolas"/>
          <w:sz w:val="20"/>
        </w:rPr>
        <w:t>partners.pdhc</w:t>
      </w:r>
      <w:r>
        <w:t xml:space="preserve"> service. Reconsider only when partner business metadata grows beyond what fits in SSO.</w:t>
      </w:r>
    </w:p>
    <w:p>
      <w:pPr>
        <w:pStyle w:val="ListBullet"/>
      </w:pPr>
      <w:r>
        <w:t xml:space="preserve">Replacing the </w:t>
      </w:r>
      <w:r>
        <w:rPr>
          <w:b/>
        </w:rPr>
        <w:t>internal</w:t>
      </w:r>
      <w:r>
        <w:t xml:space="preserve"> Service Registry on the SSO landing — that's a different feature for a different audience.</w:t>
      </w:r>
    </w:p>
    <w:p/>
    <w:p>
      <w:pPr>
        <w:spacing w:before="120" w:after="120"/>
        <w:jc w:val="center"/>
      </w:pPr>
      <w:r>
        <w:rPr>
          <w:color w:val="CCCCCC"/>
        </w:rPr>
        <w:t>────────────────────────────────────────</w:t>
      </w:r>
    </w:p>
    <w:p/>
    <w:p>
      <w:pPr>
        <w:pStyle w:val="Heading1"/>
      </w:pPr>
      <w:r>
        <w:t>11) References</w:t>
      </w:r>
    </w:p>
    <w:p/>
    <w:p>
      <w:pPr>
        <w:pStyle w:val="ListBullet"/>
      </w:pPr>
      <w:r>
        <w:rPr>
          <w:rFonts w:ascii="Consolas" w:hAnsi="Consolas"/>
          <w:sz w:val="20"/>
        </w:rPr>
        <w:t>sso.pdhc/app/src/templates/su_admin.html</w:t>
      </w:r>
      <w:r>
        <w:t xml:space="preserve"> — current admin page; new partners section sits next to existing service registry.</w:t>
      </w:r>
    </w:p>
    <w:p>
      <w:pPr>
        <w:pStyle w:val="ListBullet"/>
      </w:pPr>
      <w:r>
        <w:rPr>
          <w:rFonts w:ascii="Consolas" w:hAnsi="Consolas"/>
          <w:sz w:val="20"/>
        </w:rPr>
        <w:t>sso.pdhc/app/src/config.py</w:t>
      </w:r>
      <w:r>
        <w:t xml:space="preserve"> — </w:t>
      </w:r>
      <w:r>
        <w:rPr>
          <w:rFonts w:ascii="Consolas" w:hAnsi="Consolas"/>
          <w:sz w:val="20"/>
        </w:rPr>
        <w:t>KEYAUTH_SERVICE_*</w:t>
      </w:r>
      <w:r>
        <w:t xml:space="preserve"> env-pair scanning; remove in step 6.</w:t>
      </w:r>
    </w:p>
    <w:p>
      <w:pPr>
        <w:pStyle w:val="ListBullet"/>
      </w:pPr>
      <w:r>
        <w:rPr>
          <w:rFonts w:ascii="Consolas" w:hAnsi="Consolas"/>
          <w:sz w:val="20"/>
        </w:rPr>
        <w:t>contract.pdhc/app/backend/app/models.py:27</w:t>
      </w:r>
      <w:r>
        <w:t xml:space="preserve"> — </w:t>
      </w:r>
      <w:r>
        <w:rPr>
          <w:rFonts w:ascii="Consolas" w:hAnsi="Consolas"/>
          <w:sz w:val="20"/>
        </w:rPr>
        <w:t>ContractRecord</w:t>
      </w:r>
      <w:r>
        <w:t xml:space="preserve"> model; add validation in step 5.</w:t>
      </w:r>
    </w:p>
    <w:p>
      <w:pPr>
        <w:pStyle w:val="ListBullet"/>
      </w:pPr>
      <w:r>
        <w:t>FHIR R5 Contract: &lt;https://hl7.org/fhir/R5/contract.html#Contract.signer&gt;</w:t>
      </w:r>
    </w:p>
    <w:p>
      <w:pPr>
        <w:pStyle w:val="ListBullet"/>
      </w:pPr>
      <w:r>
        <w:t>Rule 8 (CLAUDE.md) — API key storage / rotation / expiry / revocation procedures must be in deployment plans. Section 5 + 7 satisfy this.</w:t>
      </w:r>
    </w:p>
    <w:p>
      <w:pPr>
        <w:pStyle w:val="ListBullet"/>
      </w:pPr>
      <w:r>
        <w:t xml:space="preserve">Rule 18 — internal references via GUID. </w:t>
      </w:r>
      <w:r>
        <w:rPr>
          <w:rFonts w:ascii="Consolas" w:hAnsi="Consolas"/>
          <w:sz w:val="20"/>
        </w:rPr>
        <w:t>partner_guid</w:t>
      </w:r>
      <w:r>
        <w:t xml:space="preserve"> is the stable cross-service handle.</w:t>
      </w:r>
    </w:p>
    <w:p>
      <w:pPr>
        <w:pStyle w:val="ListBullet"/>
      </w:pPr>
      <w:r>
        <w:t xml:space="preserve">Rule 24 — full operation log. </w:t>
      </w:r>
      <w:r>
        <w:rPr>
          <w:rFonts w:ascii="Consolas" w:hAnsi="Consolas"/>
          <w:sz w:val="20"/>
        </w:rPr>
        <w:t>external_partner_audit</w:t>
      </w:r>
      <w:r>
        <w:t xml:space="preserve"> satisfies this.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