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Agnieszka Kreciszewska</w:t>
      </w:r>
    </w:p>
    <w:p>
      <w:r>
        <w:rPr>
          <w:rFonts w:ascii="Aptos" w:hAnsi="Aptos"/>
          <w:color w:val="666666"/>
          <w:sz w:val="20"/>
        </w:rPr>
        <w:t>Caparol Polska | agnieszka.kreciszewska@caparol.pl</w:t>
      </w:r>
    </w:p>
    <w:p>
      <w:r>
        <w:rPr>
          <w:rFonts w:ascii="Aptos" w:hAnsi="Aptos"/>
          <w:i/>
          <w:color w:val="888888"/>
          <w:sz w:val="18"/>
        </w:rPr>
        <w:t>Panel: Financial Performance &amp; Business Management  -  marka własna jako gra o model biznesowy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agnieszka.kreciszewska@caparol.pl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Marka własna: gdzie naprawdę ucieka marża</w:t>
      </w:r>
    </w:p>
    <w:p/>
    <w:p>
      <w:r>
        <w:rPr>
          <w:rFonts w:ascii="Aptos" w:hAnsi="Aptos"/>
          <w:color w:val="000000"/>
          <w:sz w:val="22"/>
        </w:rPr>
        <w:t>Dzień dobry Pani Agnieszko,</w:t>
      </w:r>
    </w:p>
    <w:p>
      <w:r>
        <w:rPr>
          <w:rFonts w:ascii="Aptos" w:hAnsi="Aptos"/>
          <w:color w:val="000000"/>
          <w:sz w:val="22"/>
        </w:rPr>
        <w:t>dziękuję za bardzo interesujący głos w panelu „Financial Performance &amp; Business Management  -  marka własna jako gra o model biznesowy” podczas Poland &amp; CEE Retail Summit 2026.</w:t>
      </w:r>
    </w:p>
    <w:p>
      <w:r>
        <w:rPr>
          <w:rFonts w:ascii="Aptos" w:hAnsi="Aptos"/>
          <w:color w:val="000000"/>
          <w:sz w:val="22"/>
        </w:rPr>
        <w:t>Bardzo trafne wydało mi się to, że w markach własnych sprzedaż i wzrost wolumenu nie muszą automatycznie oznaczać poprawy wyniku. W firmie takiej jak Caparol Polska stawką jest przecież nie tylko koszt wytworzenia, ale też jakość decyzji o dostawcach, strukturze kosztu, presji sieci i przestrzeni do obrony marży.</w:t>
      </w:r>
    </w:p>
    <w:p>
      <w:r>
        <w:rPr>
          <w:rFonts w:ascii="Aptos" w:hAnsi="Aptos"/>
          <w:color w:val="000000"/>
          <w:sz w:val="22"/>
        </w:rPr>
        <w:t>W Profitii pomagamy uporządkować ten obszar przez prostą logikę: koszt, trend, dostawca, decyzja. Dzięki temu łatwiej ocenić, gdzie oferta lub koszt są faktycznie uzasadnione, a gdzie warto wrócić do rozmowy z partnerem lub dostawcą.</w:t>
      </w:r>
    </w:p>
    <w:p>
      <w:r>
        <w:rPr>
          <w:rFonts w:ascii="Aptos" w:hAnsi="Aptos"/>
          <w:color w:val="000000"/>
          <w:sz w:val="22"/>
        </w:rPr>
        <w:t>Czy znalazłaby Pani 15–20 minut na krótką rozmowę? Chętnie wymienię się praktycznymi obserwacjami z tego obszaru.</w:t>
      </w:r>
    </w:p>
    <w:p>
      <w:r>
        <w:rPr>
          <w:rFonts w:ascii="Aptos" w:hAnsi="Aptos"/>
          <w:color w:val="000000"/>
          <w:sz w:val="22"/>
        </w:rPr>
        <w:t>Jeśli tak, proszę o informację, jak będzie Pani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agnieszka.kreciszewska@caparol.pl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Marka własna: gdzie naprawdę ucieka marża</w:t>
      </w:r>
    </w:p>
    <w:p/>
    <w:p>
      <w:r>
        <w:rPr>
          <w:rFonts w:ascii="Aptos" w:hAnsi="Aptos"/>
          <w:color w:val="000000"/>
          <w:sz w:val="22"/>
        </w:rPr>
        <w:t>Dzień dobry Pani Agnieszko,</w:t>
      </w:r>
    </w:p>
    <w:p>
      <w:r>
        <w:rPr>
          <w:rFonts w:ascii="Aptos" w:hAnsi="Aptos"/>
          <w:color w:val="000000"/>
          <w:sz w:val="22"/>
        </w:rPr>
        <w:t>wracam, bo w modelu private label najczęściej problem nie leży w jednym wskaźniku, tylko w tym, że koszt, warunki handlowe i ryzyko dostawcy są oceniane osobno.</w:t>
      </w:r>
    </w:p>
    <w:p>
      <w:r>
        <w:rPr>
          <w:rFonts w:ascii="Aptos" w:hAnsi="Aptos"/>
          <w:color w:val="000000"/>
          <w:sz w:val="22"/>
        </w:rPr>
        <w:t>W praktyce prowadzi to do sytuacji, w której firma widzi sprzedaż, ale nie zawsze ma równie dobrą kontrolę nad tym, gdzie realnie oddaje marżę: w koszcie komponentu, w presji sieci, w konstrukcji oferty albo w zbyt słabej pozycji negocjacyjnej. Dobrze uporządkowany standard oceny dostawcy i kosztu potrafi bardzo pomóc.</w:t>
      </w:r>
    </w:p>
    <w:p>
      <w:r>
        <w:rPr>
          <w:rFonts w:ascii="Aptos" w:hAnsi="Aptos"/>
          <w:color w:val="000000"/>
          <w:sz w:val="22"/>
        </w:rPr>
        <w:t>Jeśli temat jest dla Pani aktualny, chętnie pokażę to na prostym przykładzie.</w:t>
      </w:r>
    </w:p>
    <w:p>
      <w:r>
        <w:rPr>
          <w:rFonts w:ascii="Aptos" w:hAnsi="Aptos"/>
          <w:color w:val="000000"/>
          <w:sz w:val="22"/>
        </w:rPr>
        <w:t>Jeśli widzi Pani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agnieszka.kreciszewska@caparol.pl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krótka wymiana perspektyw?</w:t>
      </w:r>
    </w:p>
    <w:p/>
    <w:p>
      <w:r>
        <w:rPr>
          <w:rFonts w:ascii="Aptos" w:hAnsi="Aptos"/>
          <w:color w:val="000000"/>
          <w:sz w:val="22"/>
        </w:rPr>
        <w:t>Dzień dobry Pani Agnieszko,</w:t>
      </w:r>
    </w:p>
    <w:p>
      <w:r>
        <w:rPr>
          <w:rFonts w:ascii="Aptos" w:hAnsi="Aptos"/>
          <w:color w:val="000000"/>
          <w:sz w:val="22"/>
        </w:rPr>
        <w:t>zostawię krótkie domknięcie. Jeśli temat kontroli kosztu i ochrony marży w modelu private label jest dla Pani aktualny, chętnie porozmawiam 15 minut.</w:t>
      </w:r>
    </w:p>
    <w:p>
      <w:r>
        <w:rPr>
          <w:rFonts w:ascii="Aptos" w:hAnsi="Aptos"/>
          <w:color w:val="000000"/>
          <w:sz w:val="22"/>
        </w:rPr>
        <w:t>Możemy oprzeć rozmowę na jednym wybranym obszarze kosztowym lub dostawcy.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