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Agnieszka Kreciszewska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Caparol Polska | agnieszka.kreciszewska@caparol.pl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Financial Performance &amp; Business Management  -  marka własna jako gra o model biznesowy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agnieszka.kreciszewska@caparol.pl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Marka własna: gdzie naprawdę ucieka marża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Agnieszko,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„Financial Performance &amp; Business Management  -  marka własna jako gra o model biznesowy”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Bardzo trafne wydało mi się to, że w markach własnych sprzedaż i wzrost wolumenu nie muszą automatycznie oznaczać poprawy wyniku. W firmie takiej jak Caparol Polska stawką jest przecież nie tylko koszt wytworzenia, ale też jakość decyzji o dostawcach, strukturze kosztu, presji sieci i przestrzeni do obrony marży.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pomagamy uporządkować ten obszar przez prostą logikę: koszt, trend, dostawca, decyzja. Dzięki temu łatwiej ocenić, gdzie oferta lub koszt są faktycznie uzasadnione, a gdzie warto wrócić do rozmowy z partnerem lub dostawcą.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znalazłaby Pani 15–20 minut na krótką rozmowę? Chętnie wymienię się praktycznymi obserwacjami z tego obszaru.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Pani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agnieszka.kreciszewska@caparol.pl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Marka własna: gdzie naprawdę ucieka marża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Agnieszko,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wracam, bo w modelu private label najczęściej problem nie leży w jednym wskaźniku, tylko w tym, że koszt, warunki handlowe i ryzyko dostawcy są oceniane osobno.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praktyce prowadzi to do sytuacji, w której firma widzi sprzedaż, ale nie zawsze ma równie dobrą kontrolę nad tym, gdzie realnie oddaje marżę: w koszcie komponentu, w presji sieci, w konstrukcji oferty albo w zbyt słabej pozycji negocjacyjnej. Dobrze uporządkowany standard oceny dostawcy i kosztu potrafi bardzo pomóc.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temat jest dla Pani aktualny, chętnie pokażę to na prostym przykładzie.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Pani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agnieszka.kreciszewska@caparol.pl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krótka wymiana perspektyw?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Agnieszko,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krótkie domknięcie. Jeśli temat kontroli kosztu i ochrony marży w modelu private label jest dla Pani aktualny, chętnie porozmawiam 15 minut.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Możemy oprzeć rozmowę na jednym wybranym obszarze kosztowym lub dostawcy.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