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ptos" w:hAnsi="Aptos"/>
          <w:b/>
          <w:color w:val="333333"/>
          <w:sz w:val="28"/>
        </w:rPr>
        <w:t>Barbara Robaszkiewicz</w:t>
      </w:r>
    </w:p>
    <w:p>
      <w:pPr>
        <w:spacing w:before="0" w:after="40"/>
      </w:pPr>
      <w:r>
        <w:rPr>
          <w:rFonts w:ascii="Aptos" w:hAnsi="Aptos"/>
          <w:b w:val="0"/>
          <w:color w:val="888888"/>
          <w:sz w:val="18"/>
        </w:rPr>
        <w:t>Financial Director | Beiersdorf Polska | (brak adresu e-mail)</w:t>
      </w:r>
    </w:p>
    <w:p>
      <w:pPr>
        <w:spacing w:before="0" w:after="0"/>
      </w:pPr>
      <w:r>
        <w:rPr>
          <w:rFonts w:ascii="Aptos" w:hAnsi="Aptos"/>
          <w:b w:val="0"/>
          <w:color w:val="AAAAAA"/>
          <w:sz w:val="18"/>
        </w:rPr>
        <w:t>Panel: Koordynowanie reakcji na ryzyka w wymiarach finansowym, operacyjnym i regulacyjnym w warunkach zmienności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1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Refleksje po panelu o zarządzaniu ryzykiem w Beiersdorf Polska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 Barbaro,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dziękuję za bardzo interesujący głos w panelu „Koordynowanie reakcji na ryzyka w wymiarach finansowym, operacyjnym i regulacyjnym w warunkach zmienności” podczas Poland &amp; CEE Retail Summit 2026.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ryzyka dostawców i presja kosztowa, które Pani podkreśliła, pokazują, że klasyczne zarządzanie ryzykiem przestaje wystarczać. Wierzę, że proaktywne podejście oparte na lepszej jakości danych o kosztach, trendach cenowych i prognozach pozwala przygotować się na zmiany, a nie reagować dopiero po ich wystąpieniu.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Profitii i SpendGuru stosujemy framework Cost/Trend/Dostawca/Decyzja, który pomaga zespołom zakupowym skuteczniej zarządzać ryzykiem, chronić marżę i lepiej planować budżet w dynamicznym otoczeniu FMCG.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znalazłaby Pani czas na krótką, 15-minutową rozmowę, aby wymienić się doświadczeniami i spojrzeć na wyzwania Beiersdorf Polska z tej perspektywy?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tak, proszę o informację, jak będzie Pani wygodnie porozmawiać.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2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Jak podejść do nakładających się ryzyk w FMCG?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 Barbaro,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chciałem nawiązać do mojej poprzedniej wiadomości i podkreślić, jak ważne jest uwzględnienie nakładających się ryzyk finansowych i operacyjnych w codziennych decyzjach zakupowych. Nawet niewielka zmiana regulacyjna może generować realne koszty, które sumują się i wpływają na marżę.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przykładem jest wykorzystanie danych o trendach cenowych i sytuacji dostawców do oceny ryzyka i planowania negocjacji z dostawcami. Takie podejście pozwala minimalizować niepożądane podwyżki i zabezpieczać budżet.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miałaby Pani ochotę, chętnie podzielę się szczegółami i przykładami w krótkiej rozmowie.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widzi Pani sens takiej rozmowy, proszę o krótką odpowiedź - mogę dopasować się do telefonu albo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3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Czy możemy wymienić się perspektywami na temat ryzyka dostawców?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 Barbaro,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rozumiem, że temat zarządzania ryzykiem jest wymagający i czasochłonny. Jeśli znajdzie Pani chwilę, chętnie wymienię się z Panią perspektywami lub zrobię sanity check dla wybranego obszaru kosztowego w Beiersdorf Polska.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proszę dać znać, czy taka forma byłaby dla Pani interesująca.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Proszę dać znać, czy wygodniejsza będzie krótka rozmowa telefoniczna czy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