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Justyna Zasowska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CFO, OBI Polska | OBI Polska | justyna.zasowska@obi.pl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Płynność, cash flow i kapitał obrotowy  -  rola decyzji zakupowych i predykcji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justyna.zasowska@obi.pl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OBI Polska: cash flow zaczyna się wcześniej niż w finansach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Justyno,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„Płynność, cash flow i kapitał obrotowy  -  rola decyzji zakupowych i predykcji”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Pani roli jako CFO OBI Polska szczególnie trafne wydało mi się to, że cash flow jest w dużej mierze efektem jakości wcześniejszych decyzji zakupowych. W modelu DIY retail, przy dużej liczbie SKU i sezonowości, nawet drobne błędy w timingu zakupu, poziomie zapasu czy ocenie ryzyka dostawcy bardzo szybko przekładają się na gotówkę zamrożoną w zapasach i presję na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pomagamy porządkować ten obszar przez jedną logikę: koszt, trend, dostawca, decyzja. Dzięki temu łatwiej ocenić, kiedy kupować, jak negocjować i jak ograniczać ryzyko nadmiaru lub braku zapasu.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znalazłaby Pani 15–20 minut na krótką rozmowę? Chętnie wymienię się praktyczną perspektywą.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Pani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justyna.zasowska@obi.pl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OBI Polska: cash flow zaczyna się wcześniej niż w finansach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Justyno,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właśnie w roli CFO bardzo dobrze widać, że kapitał obrotowy jest późnym skutkiem wcześniejszych decyzji kosztowych i zakupowych.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praktyce chodzi o to, czy organizacja potrafi połączyć prognozę, koszt kategorii, warunki dostawcy i wpływ na gotówkę w jedną decyzję. Bez tego łatwo o nadmiar zapasu, zły timing kontraktacji albo zaakceptowanie warunków, które niepotrzebnie obciążają cash flow.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uzna Pani, że temat jest wart krótkiej rozmowy, chętnie pokażę prosty przykład takiego podejścia.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Pani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justyna.zasowska@obi.pl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15 minut o kapitale obrotowym?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Justyno,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krótkie domknięcie. Jeśli uzna Pani, że warto porozmawiać o tym, jak lepiej połączyć decyzje zakupowe z przewidywalnością kapitału obrotowego w OBI Polska, chętnie znajdę dogodny termin.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Może to być też szybki sanity check jednej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