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Kiril Marinov</w:t>
      </w:r>
    </w:p>
    <w:p>
      <w:r>
        <w:rPr>
          <w:rFonts w:ascii="Aptos" w:hAnsi="Aptos"/>
          <w:color w:val="666666"/>
          <w:sz w:val="20"/>
        </w:rPr>
        <w:t>General Manager &amp; Board Member, Henkel Consumer Brands Poland | Henkel Consumer Brands Poland | kiril.marinov@henkel.com</w:t>
      </w:r>
    </w:p>
    <w:p>
      <w:r>
        <w:rPr>
          <w:rFonts w:ascii="Aptos" w:hAnsi="Aptos"/>
          <w:i/>
          <w:color w:val="888888"/>
          <w:sz w:val="18"/>
        </w:rPr>
        <w:t>Panel: Ambicja to za mało  -  Strategy &amp; Growth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kiril.marinov@henkel.com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Henkel Consumer Brands: wzrost wymaga spójności kosztowej</w:t>
      </w:r>
    </w:p>
    <w:p/>
    <w:p>
      <w:r>
        <w:rPr>
          <w:rFonts w:ascii="Aptos" w:hAnsi="Aptos"/>
          <w:color w:val="000000"/>
          <w:sz w:val="22"/>
        </w:rPr>
        <w:t>Dzień dobry Panie Kirilu,</w:t>
      </w:r>
    </w:p>
    <w:p>
      <w:r>
        <w:rPr>
          <w:rFonts w:ascii="Aptos" w:hAnsi="Aptos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General Manager i Board Member Henkel Consumer Brands Poland szczególnie mocno wybrzmiało dla mnie to, że wzrost i ambicja strategiczna muszą być podparte spójnym modelem działania. W FMCG ten warunek bardzo szybko schodzi do poziomu kosztów, warunków handlowych, przewidywalności kategorii i jakości decyzji zakupowych, które później bezpośrednio wpływają na marżę.</w:t>
      </w:r>
    </w:p>
    <w:p>
      <w:r>
        <w:rPr>
          <w:rFonts w:ascii="Aptos" w:hAnsi="Aptos"/>
          <w:color w:val="000000"/>
          <w:sz w:val="22"/>
        </w:rPr>
        <w:t>W Profitii pomagamy uporządkować właśnie ten obszar: koszt, trend rynku, sytuacja dostawcy i decyzja negocjacyjna. Dzięki temu łatwiej utrzymać dyscyplinę kosztową bez utraty elastyczności biznesowej.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podzielę się praktycznym spojrzeniem na ten temat.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kiril.marinov@henkel.com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Henkel Consumer Brands: wzrost wymaga spójności kosztowej</w:t>
      </w:r>
    </w:p>
    <w:p/>
    <w:p>
      <w:r>
        <w:rPr>
          <w:rFonts w:ascii="Aptos" w:hAnsi="Aptos"/>
          <w:color w:val="000000"/>
          <w:sz w:val="22"/>
        </w:rPr>
        <w:t>Dzień dobry Panie Kirilu,</w:t>
      </w:r>
    </w:p>
    <w:p>
      <w:r>
        <w:rPr>
          <w:rFonts w:ascii="Aptos" w:hAnsi="Aptos"/>
          <w:color w:val="000000"/>
          <w:sz w:val="22"/>
        </w:rPr>
        <w:t>wracam, bo w firmach FMCG bardzo często widać, że strategia wzrostu zaczyna się komplikować tam, gdzie koszty kategorii i decyzje zakupowe przestają być zarządzane według jednej logiki.</w:t>
      </w:r>
    </w:p>
    <w:p>
      <w:r>
        <w:rPr>
          <w:rFonts w:ascii="Aptos" w:hAnsi="Aptos"/>
          <w:color w:val="000000"/>
          <w:sz w:val="22"/>
        </w:rPr>
        <w:t>W praktyce chodzi o to, czy organizacja potrafi szybko ocenić, które wzrosty kosztów są realne, jak reagować na zmienność surowców i w których miejscach dostawca ma przestrzeń do ustępstw. To zwykle ma większy wpływ na marżę niż sama deklarowana ambicja wzrostu.</w:t>
      </w:r>
    </w:p>
    <w:p>
      <w:r>
        <w:rPr>
          <w:rFonts w:ascii="Aptos" w:hAnsi="Aptos"/>
          <w:color w:val="000000"/>
          <w:sz w:val="22"/>
        </w:rPr>
        <w:t>Jeśli uzna Pan, że to ciekawy temat, chętnie pokażę prosty przykład takiego podejścia.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kiril.marinov@henkel.com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15 minut rozmowy?</w:t>
      </w:r>
    </w:p>
    <w:p/>
    <w:p>
      <w:r>
        <w:rPr>
          <w:rFonts w:ascii="Aptos" w:hAnsi="Aptos"/>
          <w:color w:val="000000"/>
          <w:sz w:val="22"/>
        </w:rPr>
        <w:t>Dzień dobry Panie Kirilu,</w:t>
      </w:r>
    </w:p>
    <w:p>
      <w:r>
        <w:rPr>
          <w:rFonts w:ascii="Aptos" w:hAnsi="Aptos"/>
          <w:color w:val="000000"/>
          <w:sz w:val="22"/>
        </w:rPr>
        <w:t>zostawię krótkie domknięcie. Jeśli temat lepszej kontroli kosztów i przygotowania negocjacji w Henkel Consumer Brands Poland jest dla Pana aktualny, chętnie porozmawiam 15 minut.</w:t>
      </w:r>
    </w:p>
    <w:p>
      <w:r>
        <w:rPr>
          <w:rFonts w:ascii="Aptos" w:hAnsi="Aptos"/>
          <w:color w:val="000000"/>
          <w:sz w:val="22"/>
        </w:rPr>
        <w:t>Możemy oprzeć rozmowę na jednej wybranej kategorii.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