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Kiril Marinov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General Manager &amp; Board Member, Henkel Consumer Brands Poland | Henkel Consumer Brands Poland | kiril.marinov@henkel.com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Ambicja to za mało  -  Strategy &amp; Growth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kiril.marinov@henkel.com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Henkel Consumer Brands: wzrost wymaga spójności kosztowej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Kirilu,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„Ambicja to za mało  -  Strategy &amp; Growth”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Pana roli jako General Manager i Board Member Henkel Consumer Brands Poland szczególnie mocno wybrzmiało dla mnie to, że wzrost i ambicja strategiczna muszą być podparte spójnym modelem działania. W FMCG ten warunek bardzo szybko schodzi do poziomu kosztów, warunków handlowych, przewidywalności kategorii i jakości decyzji zakupowych, które później bezpośrednio wpływają na marżę.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pomagamy uporządkować właśnie ten obszar: koszt, trend rynku, sytuacja dostawcy i decyzja negocjacyjna. Dzięki temu łatwiej utrzymać dyscyplinę kosztową bez utraty elastyczności biznesowej.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rozmowę? Chętnie podzielę się praktycznym spojrzeniem na ten temat.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kiril.marinov@henkel.com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Henkel Consumer Brands: wzrost wymaga spójności kosztowej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Kirilu,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wracam, bo w firmach FMCG bardzo często widać, że strategia wzrostu zaczyna się komplikować tam, gdzie koszty kategorii i decyzje zakupowe przestają być zarządzane według jednej logiki.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praktyce chodzi o to, czy organizacja potrafi szybko ocenić, które wzrosty kosztów są realne, jak reagować na zmienność surowców i w których miejscach dostawca ma przestrzeń do ustępstw. To zwykle ma większy wpływ na marżę niż sama deklarowana ambicja wzrostu.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uzna Pan, że to ciekawy temat, chętnie pokażę prosty przykład takiego podejścia.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kiril.marinov@henkel.com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15 minut rozmowy?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Kirilu,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krótkie domknięcie. Jeśli temat lepszej kontroli kosztów i przygotowania negocjacji w Henkel Consumer Brands Poland jest dla Pana aktualny, chętnie porozmawiam 15 minut.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Możemy oprzeć rozmowę na jednej wybranej kategorii.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