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Krzysztof Łątka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Organic Way | (brak adresu e-mail)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Financial Performance &amp; Business Management  -  marka własna jako gra o model biznesowy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Kontrola kosztów i ryzyka w marce własnej – kilka refleksji po panelu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Krzysztofie,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„Financial Performance &amp; Business Management  -  marka własna jako gra o model biznesowy"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zwróciła moją uwagę hipoteza, że kontrola nad kosztem wytworzenia i ryzykiem dostawców to fundament rentowności private label. W szczególności w segmencie premium, gdzie marża jest kluczowa, a dodatkowe koszty i wymagania operacyjne mogą szybko ją nadwyrężyć.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i SpendGuru stosujemy podejście łączące analizę kosztów, prognozy rynkowe, ocenę ryzyka dostawców i wsparcie decyzji negocjacyjnych, co pomaga zespołom zakupowym chronić marżę i skalować biznes bez nadmiernego ryzyka.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rozmowę, aby wymienić się doświadczeniami w tym obszarze?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Jak chronić marżę marki własnej przy rosnących wymaganiach sieci?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Krzysztofie,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nawiązując do mojej poprzedniej wiadomości, chciałem podkreślić, że rosnące wymagania operacyjne i dodatkowe koszty narzucane przez sieci często komplikują utrzymanie rentowności marki własnej.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praktycznym rozwiązaniem jest uporządkowanie decyzji wokół kosztu wytworzenia i ryzyka dostawcy – na przykład dzięki benchmarkom kosztowym i analizie sytuacji partnera można lepiej negocjować warunki u dostawców i unikać nieprzewidzianych obciążeń.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chętnie podzielę się przykładami, jeśli miałby Pan chwilę na wymianę spostrzeżeń.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Czy mogę pomóc w ocenie ryzyka i kosztów marki własnej?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Krzysztofie,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znajdzie Pan chwilę, chętnie wymienię się krótką perspektywą na temat kontroli kosztów i ryzyka w marce własnej – może to być pomocne jako sanity check dla jednego z kluczowych dostawców lub kategorii.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pozdrawiam serdecznie,</w:t>
      </w:r>
      <w:r>
        <w:br/>
      </w:r>
      <w:r>
        <w:rPr>
          <w:rFonts w:ascii="Aptos" w:hAnsi="Aptos"/>
          <w:b w:val="0"/>
          <w:color w:val="000000"/>
          <w:sz w:val="22"/>
        </w:rPr>
        <w:t>Tomasz Uściński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