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Mariusz Makowski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Mars Wrigley | mariusz.makowski@effem.com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Ambicja to za mało  -  Strategy &amp; Growth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mariusz.makowski@effem.com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Mars Wrigley i spójność decyzji wspierających wzrost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Mariuszu,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Bardzo trafne wydało mi się Pana spojrzenie na to, że wzrost wymaga nie tylko ambicji, ale też spójności ludzi, procesów i decyzji. W organizacji takiej jak Mars Wrigley oznacza to również konieczność utrzymania dyscypliny kosztowej i zakupowej przy jednoczesnym wspieraniu skali, innowacji i rentowności.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często pracujemy właśnie z tym napięciem: jak uporządkować decyzje wokół kosztu, trendu rynkowego, ryzyka dostawcy i wpływu na marżę, tak aby zakupy realnie wspierały wzrost, a nie tylko reagowały na presję cenową.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pokażę, jak taki model działa w praktyce na poziomie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mariusz.makowski@effem.com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Mars Wrigley i spójność decyzji wspierających wzrost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Mariuszu,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 do Pana, bo w firmach o dużej skali właśnie brak wspólnej logiki kosztowej i zakupowej często utrudnia realizację strategii wzrostu.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najczęściej widać to tam, gdzie presja na marżę, koszty surowców, opakowań czy logistyki zaczyna rozjeżdżać cele między biznesem, finansami i zakupami. Uporządkowanie tego przez jeden standard przygotowania decyzji i negocjacji daje znacznie większą przewidywalność.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to ciekawy temat, chętnie wymienię się kilkoma praktycznymi obserwacjami.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mariusz.makowski@effem.com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rozmowa o spójności decyzji?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Mariuszu,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już tylko krótkie domknięcie. Jeśli temat spójności decyzji kosztowych i zakupowych w kontekście wzrostu jest dla Pana aktualny, chętnie porozmawiam 15 minut.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Możemy też po prostu przejść przez jeden przykład kategorii, w której presja kosztowa najmocniej wpływa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