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Michał Śławski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CFO, Castorama Polska | Castorama Polska | michal.slawski@castorama.pl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Płynność, cash flow i kapitał obrotowy  -  rola decyzji zakupowych i predykcji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michal.slawski@castorama.pl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Castorama: zapas, gotówka i decyzje zakupowe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Michale,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„Płynność, cash flow i kapitał obrotowy  -  rola decyzji zakupowych i predykcji”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Pana roli jako CFO Castorama Polska bardzo trafne było dla mnie to, że przy dużej liczbie SKU płynność i gotówka są bezpośrednim skutkiem jakości decyzji zakupowych. W takim modelu biznesowym stawką nie jest przecież wyłącznie poziom zapasu, ale też timing kontraktacji, ekspozycja na zmienność kosztów i to, ile gotówki organizacja oddaje przez nieprecyzyjne decyzje.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pomagamy porządkować te decyzje przez prosty model: koszt, trend rynku, ryzyko dostawcy i decyzja biznesowa. To zwykle poprawia przewidywalność cash flow i ogranicza niepotrzebne napięcie między dostępnością a kapitałem obrotowym.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znalazłby Pan 15–20 minut na krótką rozmowę? Chętnie wymienię się praktycznym spojrzeniem na ten obszar.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michal.slawski@castorama.pl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Castorama: zapas, gotówka i decyzje zakupowe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Michale,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wracam, bo w roli CFO najlepiej widać, że gotówka zamrożona w zapasie to zwykle nie problem magazynu, tylko wcześniejszej decyzji.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praktyce chodzi o to, czy firma potrafi odpowiednio wcześnie połączyć prognozę popytu, koszt kategorii, warunki dostawcy i wpływ na kapitał obrotowy. Bez tej spójności łatwo o nadmiary, braki albo decyzje zakupowe, które wyglądają dobrze lokalnie, ale osłabiają wynik finansowy całości.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to dla Pana interesujące, chętnie pokażę prosty sposób uporządkowania tego obszaru.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michal.slawski@castorama.pl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krótka rozmowa o cash flow?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Michale,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zostawię już krótkie domknięcie. Jeśli uzna Pan, że warto porozmawiać o tym, jak lepiej połączyć decyzje zakupowe z kontrolą zapasu i przewidywalnością gotówki w Castoramie, chętnie dopasuję się do Pana kalendarza.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